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D2CCD" w:rsidTr="003E6AB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60663D" w:rsidRDefault="00845645" w:rsidP="0060663D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 w:rsidR="0060663D"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845645" w:rsidRPr="0060663D" w:rsidRDefault="0060663D" w:rsidP="006066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D2CCD" w:rsidRPr="00845645" w:rsidRDefault="00416F6F" w:rsidP="00845645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121491" w:rsidRPr="00845645">
              <w:rPr>
                <w:sz w:val="28"/>
                <w:szCs w:val="28"/>
              </w:rPr>
              <w:t>РЕСПУБЛИКИ</w:t>
            </w:r>
            <w:r w:rsidRPr="00845645">
              <w:rPr>
                <w:sz w:val="28"/>
                <w:szCs w:val="28"/>
              </w:rPr>
              <w:t xml:space="preserve">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D2CCD" w:rsidRPr="00B61AF4" w:rsidRDefault="00B61AF4" w:rsidP="00F777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8C6024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D64A3" w:rsidRPr="00D5507E" w:rsidRDefault="009D2CCD" w:rsidP="00416F6F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60663D" w:rsidRPr="007D2418" w:rsidRDefault="00BC0578" w:rsidP="0060663D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9D2CCD" w:rsidRPr="00F7772A" w:rsidRDefault="0060663D" w:rsidP="0060663D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9D2CCD" w:rsidTr="003E6AB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D2CCD" w:rsidRPr="00F7772A" w:rsidRDefault="009D2CCD" w:rsidP="003E6AB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D2CCD" w:rsidRPr="00F7772A" w:rsidRDefault="009D2CCD" w:rsidP="00F7772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9D2CCD" w:rsidRPr="00E85889" w:rsidRDefault="00121491" w:rsidP="0012043D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D20DFB" w:rsidRPr="009D1CED" w:rsidTr="003E6AB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2043D" w:rsidRPr="00E85889" w:rsidRDefault="0012043D" w:rsidP="0012043D">
            <w:pPr>
              <w:ind w:right="57"/>
              <w:rPr>
                <w:sz w:val="16"/>
                <w:szCs w:val="16"/>
              </w:rPr>
            </w:pPr>
          </w:p>
          <w:p w:rsidR="0012043D" w:rsidRPr="00E85889" w:rsidRDefault="0012043D" w:rsidP="0012043D">
            <w:pPr>
              <w:ind w:right="57"/>
              <w:rPr>
                <w:sz w:val="16"/>
                <w:szCs w:val="16"/>
              </w:rPr>
            </w:pPr>
          </w:p>
          <w:p w:rsidR="00D20DFB" w:rsidRPr="00E85889" w:rsidRDefault="008C6024" w:rsidP="0012043D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8415" t="12065" r="1270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F3A9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19.4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D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DXc7DN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4E3817" w:rsidRPr="004E3817" w:rsidRDefault="004E3817" w:rsidP="004E3817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12043D" w:rsidTr="007D6F6C">
        <w:tc>
          <w:tcPr>
            <w:tcW w:w="4368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2043D" w:rsidRPr="009E463A" w:rsidRDefault="0012043D" w:rsidP="007D6F6C">
            <w:pPr>
              <w:rPr>
                <w:sz w:val="28"/>
                <w:szCs w:val="28"/>
              </w:rPr>
            </w:pPr>
          </w:p>
          <w:p w:rsidR="0012043D" w:rsidRPr="009E463A" w:rsidRDefault="0012043D" w:rsidP="007D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12043D" w:rsidTr="007D6F6C">
        <w:trPr>
          <w:trHeight w:val="569"/>
        </w:trPr>
        <w:tc>
          <w:tcPr>
            <w:tcW w:w="4368" w:type="dxa"/>
            <w:shd w:val="clear" w:color="auto" w:fill="auto"/>
          </w:tcPr>
          <w:p w:rsidR="0012043D" w:rsidRDefault="0012043D" w:rsidP="008C6024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bookmarkStart w:id="0" w:name="_GoBack"/>
            <w:r w:rsidR="008C6024" w:rsidRPr="00E85889">
              <w:rPr>
                <w:sz w:val="28"/>
                <w:szCs w:val="28"/>
                <w:u w:val="single"/>
              </w:rPr>
              <w:t>05</w:t>
            </w:r>
            <w:bookmarkEnd w:id="0"/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9E463A">
              <w:rPr>
                <w:sz w:val="28"/>
                <w:szCs w:val="28"/>
              </w:rPr>
              <w:t>» __</w:t>
            </w:r>
            <w:r w:rsidR="008C6024" w:rsidRPr="00E85889">
              <w:rPr>
                <w:sz w:val="28"/>
                <w:szCs w:val="28"/>
                <w:u w:val="single"/>
              </w:rPr>
              <w:t>07</w:t>
            </w:r>
            <w:r w:rsidRPr="009E463A">
              <w:rPr>
                <w:sz w:val="28"/>
                <w:szCs w:val="28"/>
              </w:rPr>
              <w:t>__  201</w:t>
            </w:r>
            <w:r w:rsidR="007A6E4F"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12043D" w:rsidRDefault="0012043D" w:rsidP="007D6F6C">
            <w:pPr>
              <w:rPr>
                <w:noProof/>
              </w:rPr>
            </w:pPr>
          </w:p>
          <w:p w:rsidR="0012043D" w:rsidRDefault="0012043D" w:rsidP="007D6F6C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8C6024" w:rsidP="007D6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043D" w:rsidRPr="009E463A">
              <w:rPr>
                <w:sz w:val="28"/>
                <w:szCs w:val="28"/>
              </w:rPr>
              <w:t>№  __</w:t>
            </w:r>
            <w:r w:rsidRPr="00E85889">
              <w:rPr>
                <w:sz w:val="28"/>
                <w:szCs w:val="28"/>
                <w:u w:val="single"/>
              </w:rPr>
              <w:t>254</w:t>
            </w:r>
            <w:r w:rsidR="0012043D" w:rsidRPr="009E463A">
              <w:rPr>
                <w:sz w:val="28"/>
                <w:szCs w:val="28"/>
              </w:rPr>
              <w:t>___</w:t>
            </w:r>
            <w:r w:rsidR="0012043D" w:rsidRPr="009E463A">
              <w:rPr>
                <w:sz w:val="28"/>
                <w:szCs w:val="28"/>
              </w:rPr>
              <w:tab/>
            </w:r>
          </w:p>
        </w:tc>
      </w:tr>
    </w:tbl>
    <w:p w:rsidR="00A52E70" w:rsidRDefault="00A52E70" w:rsidP="00A52E7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EA1" w:rsidRDefault="006F1EA1" w:rsidP="006F1EA1">
      <w:pPr>
        <w:pStyle w:val="ConsPlusNormal"/>
        <w:spacing w:line="264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районының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мөлкәт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мөнәсәбәтләре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Палатасы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тарафыннан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хезмәтлә</w:t>
      </w:r>
      <w:proofErr w:type="gramStart"/>
      <w:r w:rsidRPr="006F1EA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регламентларын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6F1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6F1EA1" w:rsidRPr="006F1EA1" w:rsidRDefault="006F1EA1" w:rsidP="006F1EA1">
      <w:pPr>
        <w:pStyle w:val="ConsPlusNormal"/>
        <w:spacing w:line="264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хезмәтлә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» 2010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210-ФЗ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законны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хакимиятенең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хезмәтләре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карарларына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» 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 2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ноябрендәге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880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» 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167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 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: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фондыннан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урыннарын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милкенә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тапшырганда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әсмиләштерү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учреждениеләргә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казна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предприятиеләренә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оператив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идарә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хокукында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унитар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предприятиеләргә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хокукында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әсмиләштерү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беркетү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реестрыннан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күчемсез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объектларына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өземтә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преференциялә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(4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lastRenderedPageBreak/>
        <w:t>күчемсез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объектлары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(5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казнаны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тәшкил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үче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мөлкәтне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(6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арендалау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шартнамәсенә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(7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хосусыйлаштырылган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биналарны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(8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реестрына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(9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урта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эшкуарлык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субъектларына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биләү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(10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берәмлек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мөлкәтен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сатуларны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үткәрмичә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түләүсез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(11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1.12.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килешүне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хокукына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торглар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түләүсез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шартнамәсен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</w:t>
      </w:r>
      <w:r w:rsidR="007163A5">
        <w:rPr>
          <w:rFonts w:ascii="Times New Roman" w:hAnsi="Times New Roman" w:cs="Times New Roman"/>
          <w:sz w:val="28"/>
          <w:szCs w:val="28"/>
        </w:rPr>
        <w:t>нең</w:t>
      </w:r>
      <w:proofErr w:type="spellEnd"/>
      <w:r w:rsidR="0071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3A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="007163A5">
        <w:rPr>
          <w:rFonts w:ascii="Times New Roman" w:hAnsi="Times New Roman" w:cs="Times New Roman"/>
          <w:sz w:val="28"/>
          <w:szCs w:val="28"/>
        </w:rPr>
        <w:t xml:space="preserve"> регламенты (12</w:t>
      </w:r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1.13.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арендалауның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гамәлдәге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шартнамәсен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өзү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(13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1.14.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билгеләнешендәге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әрне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категориягә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күчерүне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(14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1.15.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әхси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категориядән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билгеләнешендәге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җирләрдән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башка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категориягә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күчерү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(15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1.16.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кишәрлеклә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рен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үләүсез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хокукына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буларак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кую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32.1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өлешле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түләүсез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кишәрлекләре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(16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1.17.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сатулар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үткәрмичә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(17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1.18.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кишәрлекләрен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территорияләрнең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кадастр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планында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lastRenderedPageBreak/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(18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1.19.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үткәрмичә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(19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1.20.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алдан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(20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1.21.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крестьян (фермер)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хуҗалыкларына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крестьян (фермер)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хуҗалыгы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эшчәнлеген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(21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1.22.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кишәрлегендә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биналар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корылмалар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милекчеләренә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(22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1.23.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чикләрендә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(23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1.24.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бакчачылык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яшелчәчелек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(24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1.25. Дача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хуҗалыгын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(25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1.26.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срогы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чикләнмәгән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(26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1.27.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бушлай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(27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1.28.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түләүсез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ашыгыч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(28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1.29.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аукцион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әвешендә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үткәрелә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торгларда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(29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1.30.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аукцион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формасында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торгларда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(30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1.31.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әрне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кишәрлекләрен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кишәрлекләрен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яңадан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бүлү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(31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1.32.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әрне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lastRenderedPageBreak/>
        <w:t>куллануга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(32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1.33.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кишәрлегеннән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сроксыз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хокукын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кишәрлегеннән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гомерлек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хокукын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туктату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(33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1.34.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</w:t>
      </w:r>
      <w:r w:rsidR="007163A5">
        <w:rPr>
          <w:rFonts w:ascii="Times New Roman" w:hAnsi="Times New Roman" w:cs="Times New Roman"/>
          <w:sz w:val="28"/>
          <w:szCs w:val="28"/>
        </w:rPr>
        <w:t>нең</w:t>
      </w:r>
      <w:proofErr w:type="spellEnd"/>
      <w:r w:rsidR="0071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3A5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="007163A5">
        <w:rPr>
          <w:rFonts w:ascii="Times New Roman" w:hAnsi="Times New Roman" w:cs="Times New Roman"/>
          <w:sz w:val="28"/>
          <w:szCs w:val="28"/>
        </w:rPr>
        <w:t xml:space="preserve"> регламенты (34</w:t>
      </w:r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1.35.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карата сервитут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(35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1.36.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шартлы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әвештә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куллануга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(36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1.37.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милектәге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милеккә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арендага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кишәрлеге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регламенты (37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Мөлкәт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мөнәсәбәтләре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хезмәтлә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» 2018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 25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267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E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порталы» интернет –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(baltasi.tatarstan.ru).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әкчесенең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урынбасарына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>.</w:t>
      </w: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6F1EA1" w:rsidRPr="006F1EA1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70" w:rsidRDefault="006F1EA1" w:rsidP="006F1EA1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EA1">
        <w:rPr>
          <w:rFonts w:ascii="Times New Roman" w:hAnsi="Times New Roman" w:cs="Times New Roman"/>
          <w:sz w:val="28"/>
          <w:szCs w:val="28"/>
        </w:rPr>
        <w:t xml:space="preserve">комитеты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6F1EA1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6F1EA1">
        <w:rPr>
          <w:rFonts w:ascii="Times New Roman" w:hAnsi="Times New Roman" w:cs="Times New Roman"/>
          <w:sz w:val="28"/>
          <w:szCs w:val="28"/>
        </w:rPr>
        <w:t>әкчесе</w:t>
      </w:r>
      <w:proofErr w:type="spellEnd"/>
      <w:r w:rsidRPr="006F1E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6F1EA1">
        <w:rPr>
          <w:rFonts w:ascii="Times New Roman" w:hAnsi="Times New Roman" w:cs="Times New Roman"/>
          <w:sz w:val="28"/>
          <w:szCs w:val="28"/>
        </w:rPr>
        <w:t>А.Ф.Хәйретдинов</w:t>
      </w:r>
      <w:proofErr w:type="spellEnd"/>
    </w:p>
    <w:sectPr w:rsidR="00A52E70" w:rsidSect="002B3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C7" w:rsidRDefault="00443DC7" w:rsidP="000434E5">
      <w:r>
        <w:separator/>
      </w:r>
    </w:p>
  </w:endnote>
  <w:endnote w:type="continuationSeparator" w:id="0">
    <w:p w:rsidR="00443DC7" w:rsidRDefault="00443DC7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C7" w:rsidRDefault="00443DC7" w:rsidP="000434E5">
      <w:r>
        <w:separator/>
      </w:r>
    </w:p>
  </w:footnote>
  <w:footnote w:type="continuationSeparator" w:id="0">
    <w:p w:rsidR="00443DC7" w:rsidRDefault="00443DC7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38B4"/>
    <w:multiLevelType w:val="hybridMultilevel"/>
    <w:tmpl w:val="0004E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45F38"/>
    <w:multiLevelType w:val="hybridMultilevel"/>
    <w:tmpl w:val="8A929954"/>
    <w:lvl w:ilvl="0" w:tplc="788C23AA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16189"/>
    <w:rsid w:val="00030601"/>
    <w:rsid w:val="000434E5"/>
    <w:rsid w:val="00057812"/>
    <w:rsid w:val="00075BD7"/>
    <w:rsid w:val="000B2E26"/>
    <w:rsid w:val="000B56CE"/>
    <w:rsid w:val="000D0CE2"/>
    <w:rsid w:val="000E186C"/>
    <w:rsid w:val="0012043D"/>
    <w:rsid w:val="00121491"/>
    <w:rsid w:val="00166FB1"/>
    <w:rsid w:val="00170216"/>
    <w:rsid w:val="00173CFC"/>
    <w:rsid w:val="001917C8"/>
    <w:rsid w:val="001A78A0"/>
    <w:rsid w:val="001C4DAC"/>
    <w:rsid w:val="001C7BD6"/>
    <w:rsid w:val="001D4DD2"/>
    <w:rsid w:val="001D64A3"/>
    <w:rsid w:val="001F1184"/>
    <w:rsid w:val="00217A2B"/>
    <w:rsid w:val="00220CE2"/>
    <w:rsid w:val="002816A5"/>
    <w:rsid w:val="00290DA1"/>
    <w:rsid w:val="002A0AC9"/>
    <w:rsid w:val="002B3B23"/>
    <w:rsid w:val="002C1BD3"/>
    <w:rsid w:val="002C32C4"/>
    <w:rsid w:val="00307592"/>
    <w:rsid w:val="00327AC8"/>
    <w:rsid w:val="00345F0C"/>
    <w:rsid w:val="00380E87"/>
    <w:rsid w:val="0039546D"/>
    <w:rsid w:val="003C62B0"/>
    <w:rsid w:val="003E6ABF"/>
    <w:rsid w:val="004061CA"/>
    <w:rsid w:val="00416F6F"/>
    <w:rsid w:val="00433A8B"/>
    <w:rsid w:val="00443DC7"/>
    <w:rsid w:val="00477F3D"/>
    <w:rsid w:val="00490A02"/>
    <w:rsid w:val="00497799"/>
    <w:rsid w:val="004B6E13"/>
    <w:rsid w:val="004C74F5"/>
    <w:rsid w:val="004D4BB5"/>
    <w:rsid w:val="004E1DCE"/>
    <w:rsid w:val="004E3817"/>
    <w:rsid w:val="004F02E1"/>
    <w:rsid w:val="004F3CEF"/>
    <w:rsid w:val="00522BD0"/>
    <w:rsid w:val="00531C6D"/>
    <w:rsid w:val="0054215D"/>
    <w:rsid w:val="0054646B"/>
    <w:rsid w:val="00562931"/>
    <w:rsid w:val="00573E5F"/>
    <w:rsid w:val="00592546"/>
    <w:rsid w:val="005B0EA7"/>
    <w:rsid w:val="0060663D"/>
    <w:rsid w:val="00645EC6"/>
    <w:rsid w:val="0066720C"/>
    <w:rsid w:val="006831FE"/>
    <w:rsid w:val="006B081B"/>
    <w:rsid w:val="006C7130"/>
    <w:rsid w:val="006D5532"/>
    <w:rsid w:val="006F1EA1"/>
    <w:rsid w:val="006F6171"/>
    <w:rsid w:val="00701F39"/>
    <w:rsid w:val="00703792"/>
    <w:rsid w:val="007163A5"/>
    <w:rsid w:val="00720F0E"/>
    <w:rsid w:val="0075169D"/>
    <w:rsid w:val="0078488A"/>
    <w:rsid w:val="00794E51"/>
    <w:rsid w:val="007A6E4F"/>
    <w:rsid w:val="007D2418"/>
    <w:rsid w:val="007D5A13"/>
    <w:rsid w:val="007D6F6C"/>
    <w:rsid w:val="007E33B2"/>
    <w:rsid w:val="007E5367"/>
    <w:rsid w:val="00800984"/>
    <w:rsid w:val="0082053D"/>
    <w:rsid w:val="00833526"/>
    <w:rsid w:val="0084330B"/>
    <w:rsid w:val="00843E02"/>
    <w:rsid w:val="00845645"/>
    <w:rsid w:val="008636E6"/>
    <w:rsid w:val="00866BB7"/>
    <w:rsid w:val="00872DEC"/>
    <w:rsid w:val="008C6024"/>
    <w:rsid w:val="008F1D21"/>
    <w:rsid w:val="00917C34"/>
    <w:rsid w:val="009231B8"/>
    <w:rsid w:val="00960499"/>
    <w:rsid w:val="00994BDF"/>
    <w:rsid w:val="009B0BBE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52E70"/>
    <w:rsid w:val="00A620CE"/>
    <w:rsid w:val="00A8070E"/>
    <w:rsid w:val="00A9494E"/>
    <w:rsid w:val="00AA0875"/>
    <w:rsid w:val="00AB0760"/>
    <w:rsid w:val="00AB0822"/>
    <w:rsid w:val="00AE037A"/>
    <w:rsid w:val="00AE1509"/>
    <w:rsid w:val="00AE66A0"/>
    <w:rsid w:val="00AE6B2B"/>
    <w:rsid w:val="00B475BC"/>
    <w:rsid w:val="00B548C7"/>
    <w:rsid w:val="00B61AF4"/>
    <w:rsid w:val="00B94833"/>
    <w:rsid w:val="00BA662E"/>
    <w:rsid w:val="00BC0578"/>
    <w:rsid w:val="00BC5B5A"/>
    <w:rsid w:val="00BD606B"/>
    <w:rsid w:val="00BE0F6D"/>
    <w:rsid w:val="00BE1B22"/>
    <w:rsid w:val="00BE66DD"/>
    <w:rsid w:val="00BE7DF6"/>
    <w:rsid w:val="00C11704"/>
    <w:rsid w:val="00C2747A"/>
    <w:rsid w:val="00C27E3A"/>
    <w:rsid w:val="00C312F3"/>
    <w:rsid w:val="00C47013"/>
    <w:rsid w:val="00C86099"/>
    <w:rsid w:val="00C86B80"/>
    <w:rsid w:val="00C94254"/>
    <w:rsid w:val="00CA1013"/>
    <w:rsid w:val="00CB7C0F"/>
    <w:rsid w:val="00CC1EEF"/>
    <w:rsid w:val="00CD6328"/>
    <w:rsid w:val="00CF6389"/>
    <w:rsid w:val="00D03E8E"/>
    <w:rsid w:val="00D049FA"/>
    <w:rsid w:val="00D112BB"/>
    <w:rsid w:val="00D16475"/>
    <w:rsid w:val="00D20DFB"/>
    <w:rsid w:val="00D53856"/>
    <w:rsid w:val="00D5507E"/>
    <w:rsid w:val="00DA4EF7"/>
    <w:rsid w:val="00DA7403"/>
    <w:rsid w:val="00DB7F7E"/>
    <w:rsid w:val="00DD41F3"/>
    <w:rsid w:val="00DE01FF"/>
    <w:rsid w:val="00E10322"/>
    <w:rsid w:val="00E2247D"/>
    <w:rsid w:val="00E42DB0"/>
    <w:rsid w:val="00E52D4F"/>
    <w:rsid w:val="00E56BF9"/>
    <w:rsid w:val="00E616C8"/>
    <w:rsid w:val="00E63D2C"/>
    <w:rsid w:val="00E76A1B"/>
    <w:rsid w:val="00E85889"/>
    <w:rsid w:val="00E953CC"/>
    <w:rsid w:val="00F043F7"/>
    <w:rsid w:val="00F04841"/>
    <w:rsid w:val="00F127CC"/>
    <w:rsid w:val="00F14540"/>
    <w:rsid w:val="00F3174B"/>
    <w:rsid w:val="00F44CCB"/>
    <w:rsid w:val="00F55133"/>
    <w:rsid w:val="00F7772A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B475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307592"/>
    <w:pPr>
      <w:widowControl w:val="0"/>
      <w:autoSpaceDE w:val="0"/>
      <w:autoSpaceDN w:val="0"/>
      <w:adjustRightInd w:val="0"/>
    </w:pPr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B475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307592"/>
    <w:pPr>
      <w:widowControl w:val="0"/>
      <w:autoSpaceDE w:val="0"/>
      <w:autoSpaceDN w:val="0"/>
      <w:adjustRightInd w:val="0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221B-AAAE-499C-96EC-B4FD489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3</cp:revision>
  <cp:lastPrinted>2019-07-17T12:08:00Z</cp:lastPrinted>
  <dcterms:created xsi:type="dcterms:W3CDTF">2019-07-19T11:05:00Z</dcterms:created>
  <dcterms:modified xsi:type="dcterms:W3CDTF">2019-07-31T11:41:00Z</dcterms:modified>
</cp:coreProperties>
</file>