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AA6A19" w:rsidRPr="00103A17" w:rsidTr="00B04F8E">
        <w:trPr>
          <w:trHeight w:val="1071"/>
          <w:jc w:val="center"/>
        </w:trPr>
        <w:tc>
          <w:tcPr>
            <w:tcW w:w="4257" w:type="dxa"/>
          </w:tcPr>
          <w:p w:rsidR="00AA6A19" w:rsidRPr="00103A17" w:rsidRDefault="00AA6A19" w:rsidP="00B04F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3A1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AA6A19" w:rsidRPr="00103A17" w:rsidRDefault="00AA6A19" w:rsidP="00B04F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ИСПОЛНИТЕЛЬНЫЙ КОМИТЕТ</w:t>
            </w:r>
          </w:p>
          <w:p w:rsidR="00AA6A19" w:rsidRPr="00103A17" w:rsidRDefault="00AA6A19" w:rsidP="00B04F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AA6A19" w:rsidRPr="00103A17" w:rsidRDefault="00AA6A19" w:rsidP="00B04F8E">
            <w:pPr>
              <w:spacing w:after="0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103A17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103A17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AA6A19" w:rsidRPr="00103A17" w:rsidRDefault="00AA6A19" w:rsidP="00B04F8E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AA6A19" w:rsidRPr="00103A17" w:rsidRDefault="00AA6A19" w:rsidP="00B04F8E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БАЛТАЧ  РАЙОН</w:t>
            </w:r>
          </w:p>
          <w:p w:rsidR="00AA6A19" w:rsidRPr="00103A17" w:rsidRDefault="00AA6A19" w:rsidP="00B04F8E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БАШКАРМА  КОМИТЕТЫ</w:t>
            </w:r>
          </w:p>
        </w:tc>
      </w:tr>
      <w:tr w:rsidR="00AA6A19" w:rsidRPr="00103A17" w:rsidTr="00B04F8E">
        <w:trPr>
          <w:trHeight w:val="70"/>
          <w:jc w:val="center"/>
        </w:trPr>
        <w:tc>
          <w:tcPr>
            <w:tcW w:w="4257" w:type="dxa"/>
          </w:tcPr>
          <w:p w:rsidR="00AA6A19" w:rsidRPr="00103A17" w:rsidRDefault="00AA6A19" w:rsidP="00B04F8E">
            <w:pPr>
              <w:spacing w:after="0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</w:tcPr>
          <w:p w:rsidR="00AA6A19" w:rsidRPr="00103A17" w:rsidRDefault="00AA6A19" w:rsidP="00B04F8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9" w:type="dxa"/>
          </w:tcPr>
          <w:p w:rsidR="00AA6A19" w:rsidRPr="00103A17" w:rsidRDefault="00AA6A19" w:rsidP="00B04F8E">
            <w:pPr>
              <w:spacing w:after="0"/>
              <w:ind w:right="57"/>
              <w:jc w:val="center"/>
              <w:rPr>
                <w:rFonts w:ascii="Times New Roman" w:hAnsi="Times New Roman"/>
              </w:rPr>
            </w:pPr>
            <w:r w:rsidRPr="00103A17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AA6A19" w:rsidRPr="00103A17" w:rsidTr="00B04F8E">
        <w:trPr>
          <w:trHeight w:val="669"/>
          <w:jc w:val="center"/>
        </w:trPr>
        <w:tc>
          <w:tcPr>
            <w:tcW w:w="9632" w:type="dxa"/>
            <w:gridSpan w:val="3"/>
          </w:tcPr>
          <w:p w:rsidR="00AA6A19" w:rsidRPr="00103A17" w:rsidRDefault="00AA6A19" w:rsidP="00B04F8E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</w:rPr>
            </w:pPr>
          </w:p>
          <w:p w:rsidR="00AA6A19" w:rsidRPr="00103A17" w:rsidRDefault="00AA6A19" w:rsidP="00B04F8E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</w:rPr>
            </w:pPr>
          </w:p>
          <w:p w:rsidR="00AA6A19" w:rsidRPr="00103A17" w:rsidRDefault="00AA6A19" w:rsidP="00B04F8E">
            <w:pPr>
              <w:spacing w:after="0"/>
              <w:ind w:right="57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7780" t="15875" r="1333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CEAF8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0Pk4&#10;w0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AA6A19" w:rsidRPr="00103A17" w:rsidRDefault="00AA6A19" w:rsidP="00AA6A19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AA6A19" w:rsidRPr="00103A17" w:rsidTr="00B04F8E">
        <w:tc>
          <w:tcPr>
            <w:tcW w:w="4368" w:type="dxa"/>
          </w:tcPr>
          <w:p w:rsidR="00AA6A19" w:rsidRPr="00103A17" w:rsidRDefault="00AA6A19" w:rsidP="00B04F8E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AA6A19" w:rsidRPr="00103A17" w:rsidRDefault="00AA6A19" w:rsidP="00B04F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A1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</w:tcPr>
          <w:p w:rsidR="00AA6A19" w:rsidRPr="00103A17" w:rsidRDefault="00AA6A19" w:rsidP="00B04F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A6A19" w:rsidRPr="00103A17" w:rsidRDefault="00AA6A19" w:rsidP="00B04F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2" w:type="dxa"/>
          </w:tcPr>
          <w:p w:rsidR="00AA6A19" w:rsidRPr="00103A17" w:rsidRDefault="00AA6A19" w:rsidP="00B04F8E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AA6A19" w:rsidRPr="00103A17" w:rsidRDefault="00AA6A19" w:rsidP="00B04F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A17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</w:tc>
      </w:tr>
      <w:tr w:rsidR="00AA6A19" w:rsidRPr="00103A17" w:rsidTr="00B04F8E">
        <w:trPr>
          <w:trHeight w:val="569"/>
        </w:trPr>
        <w:tc>
          <w:tcPr>
            <w:tcW w:w="4368" w:type="dxa"/>
          </w:tcPr>
          <w:p w:rsidR="00AA6A19" w:rsidRPr="00103A17" w:rsidRDefault="00AA6A19" w:rsidP="00ED64B1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«_</w:t>
            </w:r>
            <w:r w:rsidR="00ED64B1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_» __</w:t>
            </w:r>
            <w:bookmarkStart w:id="0" w:name="_GoBack"/>
            <w:bookmarkEnd w:id="0"/>
            <w:r w:rsidR="00ED64B1">
              <w:rPr>
                <w:rFonts w:ascii="Times New Roman" w:hAnsi="Times New Roman"/>
                <w:sz w:val="28"/>
                <w:szCs w:val="28"/>
                <w:u w:val="single"/>
              </w:rPr>
              <w:t>05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__  2019 г.</w:t>
            </w:r>
          </w:p>
        </w:tc>
        <w:tc>
          <w:tcPr>
            <w:tcW w:w="1136" w:type="dxa"/>
          </w:tcPr>
          <w:p w:rsidR="00AA6A19" w:rsidRPr="00103A17" w:rsidRDefault="00AA6A19" w:rsidP="00B04F8E">
            <w:pPr>
              <w:spacing w:after="0"/>
              <w:rPr>
                <w:rFonts w:ascii="Times New Roman" w:hAnsi="Times New Roman"/>
                <w:noProof/>
              </w:rPr>
            </w:pPr>
          </w:p>
          <w:p w:rsidR="00AA6A19" w:rsidRPr="00103A17" w:rsidRDefault="00AA6A19" w:rsidP="00B04F8E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152" w:type="dxa"/>
          </w:tcPr>
          <w:p w:rsidR="00AA6A19" w:rsidRPr="00103A17" w:rsidRDefault="00AA6A19" w:rsidP="00ED64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17">
              <w:rPr>
                <w:rFonts w:ascii="Times New Roman" w:hAnsi="Times New Roman"/>
                <w:sz w:val="28"/>
                <w:szCs w:val="28"/>
              </w:rPr>
              <w:t>№  _</w:t>
            </w:r>
            <w:r w:rsidR="00ED64B1">
              <w:rPr>
                <w:rFonts w:ascii="Times New Roman" w:hAnsi="Times New Roman"/>
                <w:sz w:val="28"/>
                <w:szCs w:val="28"/>
                <w:u w:val="single"/>
              </w:rPr>
              <w:t>211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>__</w:t>
            </w:r>
            <w:r w:rsidRPr="00103A1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AA6A19" w:rsidRPr="008229FA" w:rsidRDefault="00AA6A19" w:rsidP="00AA6A19">
      <w:pPr>
        <w:pStyle w:val="FORMATTEX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FA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Министрлар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Кабинетының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Балтач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районы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территориясендә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торак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фондыннан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файдалану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саклануы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әлеге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фондның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торак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урыннары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билгеләнгән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санитар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техник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кагыйдәләр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нормаларга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законнарның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башка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таләпләренә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туры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килү-килмәү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буенча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контрольне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гамәлгә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ашыру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  <w:r w:rsidRPr="00822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b/>
          <w:sz w:val="28"/>
          <w:szCs w:val="28"/>
        </w:rPr>
        <w:t>Администрат</w:t>
      </w:r>
      <w:r>
        <w:rPr>
          <w:rFonts w:ascii="Times New Roman" w:hAnsi="Times New Roman" w:cs="Times New Roman"/>
          <w:b/>
          <w:sz w:val="28"/>
          <w:szCs w:val="28"/>
        </w:rPr>
        <w:t>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регламентны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хакында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AA6A19" w:rsidRPr="008229FA" w:rsidRDefault="00AA6A19" w:rsidP="00AA6A19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A19" w:rsidRPr="008229FA" w:rsidRDefault="00AA6A19" w:rsidP="00AA6A19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9FA">
        <w:rPr>
          <w:rFonts w:ascii="Times New Roman" w:hAnsi="Times New Roman" w:cs="Times New Roman"/>
          <w:sz w:val="28"/>
          <w:szCs w:val="28"/>
        </w:rPr>
        <w:t xml:space="preserve">"Россия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"2003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октябрендәг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законынын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китерем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8229FA">
        <w:rPr>
          <w:rFonts w:ascii="Times New Roman" w:hAnsi="Times New Roman" w:cs="Times New Roman"/>
          <w:sz w:val="28"/>
          <w:szCs w:val="28"/>
        </w:rPr>
        <w:t>әүләт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контролен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күзәтчелеген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контрольне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ашырганда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затларның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эшкуарларның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хокукларын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яклау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" 2008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декабрендәге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294-ФЗ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закон, "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8229FA">
        <w:rPr>
          <w:rFonts w:ascii="Times New Roman" w:hAnsi="Times New Roman" w:cs="Times New Roman"/>
          <w:sz w:val="28"/>
          <w:szCs w:val="28"/>
        </w:rPr>
        <w:t>ражданнарның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хокукларын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яклауны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29F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8229FA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" 2011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72-ТРЗ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Законы", Татарстан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"Татарстан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берәмлекләренең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тикшерүдә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функциялә</w:t>
      </w:r>
      <w:proofErr w:type="gramStart"/>
      <w:r w:rsidRPr="008229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башкаруның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регламентларын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эшләү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тәртибен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" 2013 ел, 23 апрель, 275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Уставы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нигезлэнеп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, </w:t>
      </w:r>
      <w:r w:rsidR="00ED64B1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="00ED64B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ED6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="009843D0">
        <w:rPr>
          <w:rFonts w:ascii="Times New Roman" w:hAnsi="Times New Roman" w:cs="Times New Roman"/>
          <w:b/>
          <w:sz w:val="28"/>
          <w:szCs w:val="28"/>
        </w:rPr>
        <w:t>карар</w:t>
      </w:r>
      <w:proofErr w:type="spellEnd"/>
      <w:r w:rsidR="009843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43D0">
        <w:rPr>
          <w:rFonts w:ascii="Times New Roman" w:hAnsi="Times New Roman" w:cs="Times New Roman"/>
          <w:b/>
          <w:sz w:val="28"/>
          <w:szCs w:val="28"/>
        </w:rPr>
        <w:t>бирэ</w:t>
      </w:r>
      <w:proofErr w:type="spellEnd"/>
      <w:r w:rsidRPr="00C23286">
        <w:rPr>
          <w:rFonts w:ascii="Times New Roman" w:hAnsi="Times New Roman" w:cs="Times New Roman"/>
          <w:b/>
          <w:sz w:val="28"/>
          <w:szCs w:val="28"/>
        </w:rPr>
        <w:t>:</w:t>
      </w:r>
    </w:p>
    <w:p w:rsidR="00AA6A19" w:rsidRPr="008229FA" w:rsidRDefault="00AA6A19" w:rsidP="00AA6A19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9FA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фондыннан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саклануы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фондның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урыннары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санитар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кагыйдәләр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нормаларга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законнарның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таләпләренә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килү-килмәү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контрольне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регламентны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6A19" w:rsidRPr="008229FA" w:rsidRDefault="00AA6A19" w:rsidP="00AA6A19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9FA">
        <w:rPr>
          <w:rFonts w:ascii="Times New Roman" w:hAnsi="Times New Roman" w:cs="Times New Roman"/>
          <w:sz w:val="28"/>
          <w:szCs w:val="28"/>
        </w:rPr>
        <w:t xml:space="preserve">2. Татарстан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сентябрендәге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фондыннан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саклануы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фондның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урыннарына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санитар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кагыйдәләр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нормаларга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законнарның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таләпләренә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килү-килмәү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контрольне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lastRenderedPageBreak/>
        <w:t>Администр</w:t>
      </w:r>
      <w:r>
        <w:rPr>
          <w:rFonts w:ascii="Times New Roman" w:hAnsi="Times New Roman" w:cs="Times New Roman"/>
          <w:sz w:val="28"/>
          <w:szCs w:val="28"/>
        </w:rPr>
        <w:t>атив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карарын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югалткан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танырга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6A19" w:rsidRPr="008229FA" w:rsidRDefault="00AA6A19" w:rsidP="00AA6A19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9F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(pravo.tatarstan.ru)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>.</w:t>
      </w:r>
    </w:p>
    <w:p w:rsidR="00AA6A19" w:rsidRDefault="00AA6A19" w:rsidP="009843D0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9F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, архитектура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торак-коммуналь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хуҗалык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бүлеге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3D0" w:rsidRPr="008229FA">
        <w:rPr>
          <w:rFonts w:ascii="Times New Roman" w:hAnsi="Times New Roman" w:cs="Times New Roman"/>
          <w:sz w:val="28"/>
          <w:szCs w:val="28"/>
        </w:rPr>
        <w:t>җитәкчесе</w:t>
      </w:r>
      <w:r w:rsidR="009843D0">
        <w:rPr>
          <w:rFonts w:ascii="Times New Roman" w:hAnsi="Times New Roman" w:cs="Times New Roman"/>
          <w:sz w:val="28"/>
          <w:szCs w:val="28"/>
        </w:rPr>
        <w:t>н</w:t>
      </w:r>
      <w:r w:rsidR="009843D0" w:rsidRPr="008229FA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>.</w:t>
      </w:r>
    </w:p>
    <w:p w:rsidR="009843D0" w:rsidRPr="008229FA" w:rsidRDefault="009843D0" w:rsidP="009843D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843D0" w:rsidRDefault="009843D0" w:rsidP="009843D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:rsidR="00AA6A19" w:rsidRPr="008229FA" w:rsidRDefault="00AA6A19" w:rsidP="009843D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9FA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8229FA">
        <w:rPr>
          <w:rFonts w:ascii="Times New Roman" w:hAnsi="Times New Roman" w:cs="Times New Roman"/>
          <w:sz w:val="28"/>
          <w:szCs w:val="28"/>
        </w:rPr>
        <w:t xml:space="preserve"> районы</w:t>
      </w:r>
    </w:p>
    <w:p w:rsidR="00AA6A19" w:rsidRDefault="009843D0" w:rsidP="009843D0">
      <w:pPr>
        <w:pStyle w:val="FORMATTEXT"/>
        <w:jc w:val="both"/>
        <w:rPr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AA6A19" w:rsidRPr="008229FA">
        <w:rPr>
          <w:rFonts w:ascii="Times New Roman" w:hAnsi="Times New Roman" w:cs="Times New Roman"/>
          <w:sz w:val="28"/>
          <w:szCs w:val="28"/>
        </w:rPr>
        <w:t>ашкарма</w:t>
      </w:r>
      <w:proofErr w:type="spellEnd"/>
      <w:r w:rsidR="00AA6A19" w:rsidRPr="008229FA">
        <w:rPr>
          <w:rFonts w:ascii="Times New Roman" w:hAnsi="Times New Roman" w:cs="Times New Roman"/>
          <w:sz w:val="28"/>
          <w:szCs w:val="28"/>
        </w:rPr>
        <w:t xml:space="preserve"> комитет </w:t>
      </w:r>
      <w:proofErr w:type="spellStart"/>
      <w:r w:rsidR="00AA6A19" w:rsidRPr="008229FA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="00AA6A19" w:rsidRPr="008229F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AA6A19" w:rsidRPr="008229FA">
        <w:rPr>
          <w:rFonts w:ascii="Times New Roman" w:hAnsi="Times New Roman" w:cs="Times New Roman"/>
          <w:sz w:val="28"/>
          <w:szCs w:val="28"/>
        </w:rPr>
        <w:t>әкчесе</w:t>
      </w:r>
      <w:proofErr w:type="spellEnd"/>
      <w:r w:rsidR="00AA6A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6A19">
        <w:rPr>
          <w:rFonts w:ascii="Times New Roman" w:hAnsi="Times New Roman" w:cs="Times New Roman"/>
          <w:sz w:val="28"/>
          <w:szCs w:val="28"/>
        </w:rPr>
        <w:t xml:space="preserve">      </w:t>
      </w:r>
      <w:r w:rsidR="00AA6A19" w:rsidRPr="008229FA">
        <w:rPr>
          <w:rFonts w:ascii="Times New Roman" w:hAnsi="Times New Roman" w:cs="Times New Roman"/>
          <w:sz w:val="28"/>
          <w:szCs w:val="28"/>
        </w:rPr>
        <w:t xml:space="preserve">А. Ф. </w:t>
      </w:r>
      <w:proofErr w:type="spellStart"/>
      <w:r w:rsidR="00AA6A19" w:rsidRPr="008229FA">
        <w:rPr>
          <w:rFonts w:ascii="Times New Roman" w:hAnsi="Times New Roman" w:cs="Times New Roman"/>
          <w:sz w:val="28"/>
          <w:szCs w:val="28"/>
        </w:rPr>
        <w:t>Хәйретдинов</w:t>
      </w:r>
      <w:proofErr w:type="spellEnd"/>
    </w:p>
    <w:p w:rsidR="002B3AC2" w:rsidRDefault="00ED64B1"/>
    <w:sectPr w:rsidR="002B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19"/>
    <w:rsid w:val="00226EFD"/>
    <w:rsid w:val="004931AA"/>
    <w:rsid w:val="009843D0"/>
    <w:rsid w:val="00AA6A19"/>
    <w:rsid w:val="00E42490"/>
    <w:rsid w:val="00ED64B1"/>
    <w:rsid w:val="00F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A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3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1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A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3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YUROTDEL2</cp:lastModifiedBy>
  <cp:revision>3</cp:revision>
  <cp:lastPrinted>2019-05-29T10:56:00Z</cp:lastPrinted>
  <dcterms:created xsi:type="dcterms:W3CDTF">2019-05-29T11:17:00Z</dcterms:created>
  <dcterms:modified xsi:type="dcterms:W3CDTF">2019-05-30T07:04:00Z</dcterms:modified>
</cp:coreProperties>
</file>