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AB" w:rsidRDefault="001D6AAB" w:rsidP="001D6A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1D6AAB" w:rsidRPr="00103A17" w:rsidTr="008674AD">
        <w:trPr>
          <w:trHeight w:val="1071"/>
          <w:jc w:val="center"/>
        </w:trPr>
        <w:tc>
          <w:tcPr>
            <w:tcW w:w="4257" w:type="dxa"/>
          </w:tcPr>
          <w:p w:rsidR="001D6AAB" w:rsidRPr="00103A17" w:rsidRDefault="001D6AAB" w:rsidP="008674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3A1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1D6AAB" w:rsidRPr="00103A17" w:rsidRDefault="001D6AAB" w:rsidP="008674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1D6AAB" w:rsidRPr="00103A17" w:rsidRDefault="001D6AAB" w:rsidP="008674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1D6AAB" w:rsidRPr="00103A17" w:rsidRDefault="001D6AAB" w:rsidP="008674AD">
            <w:pPr>
              <w:spacing w:after="0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103A17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103A17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9130" cy="829310"/>
                  <wp:effectExtent l="0" t="0" r="762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1D6AAB" w:rsidRPr="00103A17" w:rsidRDefault="001D6AAB" w:rsidP="008674AD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1D6AAB" w:rsidRPr="00103A17" w:rsidRDefault="001D6AAB" w:rsidP="008674AD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БАЛТАЧ  РАЙОН</w:t>
            </w:r>
          </w:p>
          <w:p w:rsidR="001D6AAB" w:rsidRPr="00103A17" w:rsidRDefault="001D6AAB" w:rsidP="008674AD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БАШКАРМА  КОМИТЕТЫ</w:t>
            </w:r>
          </w:p>
        </w:tc>
      </w:tr>
      <w:tr w:rsidR="001D6AAB" w:rsidRPr="00103A17" w:rsidTr="008674AD">
        <w:trPr>
          <w:trHeight w:val="70"/>
          <w:jc w:val="center"/>
        </w:trPr>
        <w:tc>
          <w:tcPr>
            <w:tcW w:w="4257" w:type="dxa"/>
          </w:tcPr>
          <w:p w:rsidR="001D6AAB" w:rsidRPr="00103A17" w:rsidRDefault="001D6AAB" w:rsidP="008674AD">
            <w:pPr>
              <w:spacing w:after="0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</w:tcPr>
          <w:p w:rsidR="001D6AAB" w:rsidRPr="00103A17" w:rsidRDefault="001D6AAB" w:rsidP="008674A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9" w:type="dxa"/>
          </w:tcPr>
          <w:p w:rsidR="001D6AAB" w:rsidRPr="00103A17" w:rsidRDefault="001D6AAB" w:rsidP="008674AD">
            <w:pPr>
              <w:spacing w:after="0"/>
              <w:ind w:right="57"/>
              <w:jc w:val="center"/>
              <w:rPr>
                <w:rFonts w:ascii="Times New Roman" w:hAnsi="Times New Roman"/>
              </w:rPr>
            </w:pPr>
            <w:r w:rsidRPr="00103A17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1D6AAB" w:rsidRPr="00103A17" w:rsidTr="008674AD">
        <w:trPr>
          <w:trHeight w:val="669"/>
          <w:jc w:val="center"/>
        </w:trPr>
        <w:tc>
          <w:tcPr>
            <w:tcW w:w="9632" w:type="dxa"/>
            <w:gridSpan w:val="3"/>
          </w:tcPr>
          <w:p w:rsidR="001D6AAB" w:rsidRPr="00103A17" w:rsidRDefault="001D6AAB" w:rsidP="008674AD">
            <w:pPr>
              <w:spacing w:after="0"/>
              <w:ind w:right="57"/>
              <w:rPr>
                <w:rFonts w:ascii="Times New Roman" w:hAnsi="Times New Roman"/>
                <w:sz w:val="16"/>
                <w:szCs w:val="16"/>
              </w:rPr>
            </w:pPr>
          </w:p>
          <w:p w:rsidR="001D6AAB" w:rsidRPr="00103A17" w:rsidRDefault="001D6AAB" w:rsidP="008674AD">
            <w:pPr>
              <w:spacing w:after="0"/>
              <w:ind w:right="57"/>
              <w:rPr>
                <w:rFonts w:ascii="Times New Roman" w:hAnsi="Times New Roman"/>
                <w:sz w:val="16"/>
                <w:szCs w:val="16"/>
              </w:rPr>
            </w:pPr>
          </w:p>
          <w:p w:rsidR="001D6AAB" w:rsidRPr="00103A17" w:rsidRDefault="001D6AAB" w:rsidP="008674AD">
            <w:pPr>
              <w:spacing w:after="0"/>
              <w:ind w:right="57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0795" t="13335" r="10795" b="1460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66956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HsPJ&#10;lU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1D6AAB" w:rsidRPr="00103A17" w:rsidRDefault="001D6AAB" w:rsidP="001D6AAB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1"/>
        <w:gridCol w:w="4106"/>
      </w:tblGrid>
      <w:tr w:rsidR="001D6AAB" w:rsidRPr="00103A17" w:rsidTr="008674AD">
        <w:trPr>
          <w:trHeight w:val="80"/>
        </w:trPr>
        <w:tc>
          <w:tcPr>
            <w:tcW w:w="4368" w:type="dxa"/>
          </w:tcPr>
          <w:p w:rsidR="001D6AAB" w:rsidRPr="00103A17" w:rsidRDefault="001D6AAB" w:rsidP="008674AD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1D6AAB" w:rsidRPr="00103A17" w:rsidRDefault="001D6AAB" w:rsidP="008674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A1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</w:tcPr>
          <w:p w:rsidR="001D6AAB" w:rsidRPr="00103A17" w:rsidRDefault="001D6AAB" w:rsidP="008674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6AAB" w:rsidRPr="00103A17" w:rsidRDefault="001D6AAB" w:rsidP="008674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2" w:type="dxa"/>
          </w:tcPr>
          <w:p w:rsidR="001D6AAB" w:rsidRPr="00103A17" w:rsidRDefault="001D6AAB" w:rsidP="008674AD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1D6AAB" w:rsidRPr="00103A17" w:rsidRDefault="001D6AAB" w:rsidP="008674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A17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</w:tc>
      </w:tr>
      <w:tr w:rsidR="001D6AAB" w:rsidRPr="00103A17" w:rsidTr="008674AD">
        <w:trPr>
          <w:trHeight w:val="569"/>
        </w:trPr>
        <w:tc>
          <w:tcPr>
            <w:tcW w:w="4368" w:type="dxa"/>
          </w:tcPr>
          <w:p w:rsidR="001D6AAB" w:rsidRPr="00103A17" w:rsidRDefault="001D6AAB" w:rsidP="008674AD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«__</w:t>
            </w:r>
            <w:r w:rsidRPr="007D1AC9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__» __</w:t>
            </w:r>
            <w:r w:rsidRPr="007D1AC9">
              <w:rPr>
                <w:rFonts w:ascii="Times New Roman" w:hAnsi="Times New Roman"/>
                <w:sz w:val="28"/>
                <w:szCs w:val="28"/>
                <w:u w:val="single"/>
              </w:rPr>
              <w:t>05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_____  2019 г.</w:t>
            </w:r>
          </w:p>
        </w:tc>
        <w:tc>
          <w:tcPr>
            <w:tcW w:w="1136" w:type="dxa"/>
          </w:tcPr>
          <w:p w:rsidR="001D6AAB" w:rsidRPr="00103A17" w:rsidRDefault="001D6AAB" w:rsidP="008674AD">
            <w:pPr>
              <w:spacing w:after="0"/>
              <w:rPr>
                <w:rFonts w:ascii="Times New Roman" w:hAnsi="Times New Roman"/>
                <w:noProof/>
              </w:rPr>
            </w:pPr>
          </w:p>
          <w:p w:rsidR="001D6AAB" w:rsidRPr="00103A17" w:rsidRDefault="001D6AAB" w:rsidP="008674AD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152" w:type="dxa"/>
          </w:tcPr>
          <w:p w:rsidR="001D6AAB" w:rsidRPr="00103A17" w:rsidRDefault="001D6AAB" w:rsidP="009500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№  __</w:t>
            </w:r>
            <w:r w:rsidRPr="007D1AC9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="009500E6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___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1D6AAB" w:rsidRDefault="001D6AAB" w:rsidP="001D6A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D6AAB" w:rsidRPr="00A01ACF" w:rsidRDefault="001D6AAB" w:rsidP="001D6AAB">
      <w:pPr>
        <w:pStyle w:val="FORMATTEX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1ACF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Балтач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районы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территориясендә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җир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контролен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гамәлгә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ашыру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тәртибе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Административ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b/>
          <w:sz w:val="28"/>
          <w:szCs w:val="28"/>
        </w:rPr>
        <w:t>хакында</w:t>
      </w:r>
      <w:proofErr w:type="spellEnd"/>
      <w:r w:rsidRPr="00A01ACF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bookmarkEnd w:id="0"/>
    <w:p w:rsidR="001D6AAB" w:rsidRPr="00A01ACF" w:rsidRDefault="001D6AAB" w:rsidP="001D6AA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AAB" w:rsidRPr="00A01ACF" w:rsidRDefault="001D6AAB" w:rsidP="001D6AA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 xml:space="preserve">  Россия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кодексы, "Россия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закон, "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контролен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күзәтчелеген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контрольне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ашырганда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затларның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эшкуарларның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хокукларын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яклау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закон, "Татарстан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" Татарстан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Законы, "Татарстан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контролен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" Татарстан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Законы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", Татарстан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комитеты </w:t>
      </w:r>
      <w:r w:rsidRPr="00A01ACF">
        <w:rPr>
          <w:rFonts w:ascii="Times New Roman" w:hAnsi="Times New Roman" w:cs="Times New Roman"/>
          <w:b/>
          <w:sz w:val="28"/>
          <w:szCs w:val="28"/>
        </w:rPr>
        <w:t>КАРАР БИРӘ:</w:t>
      </w:r>
    </w:p>
    <w:p w:rsidR="001D6AAB" w:rsidRPr="00A01ACF" w:rsidRDefault="001D6AAB" w:rsidP="001D6AA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 xml:space="preserve">1. </w:t>
      </w:r>
      <w:r w:rsidRPr="007D722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D722D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7D7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2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7D722D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7D722D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7D7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2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7D7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2D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7D7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2D">
        <w:rPr>
          <w:rFonts w:ascii="Times New Roman" w:hAnsi="Times New Roman" w:cs="Times New Roman"/>
          <w:sz w:val="28"/>
          <w:szCs w:val="28"/>
        </w:rPr>
        <w:t>контролен</w:t>
      </w:r>
      <w:proofErr w:type="spellEnd"/>
      <w:r w:rsidRPr="007D7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2D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7D7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2D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7D7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22D">
        <w:rPr>
          <w:rFonts w:ascii="Times New Roman" w:hAnsi="Times New Roman" w:cs="Times New Roman"/>
          <w:sz w:val="28"/>
          <w:szCs w:val="28"/>
        </w:rPr>
        <w:t>тәрт</w:t>
      </w:r>
      <w:r>
        <w:rPr>
          <w:rFonts w:ascii="Times New Roman" w:hAnsi="Times New Roman" w:cs="Times New Roman"/>
          <w:sz w:val="28"/>
          <w:szCs w:val="28"/>
        </w:rPr>
        <w:t>ибе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AB" w:rsidRPr="00A01ACF" w:rsidRDefault="001D6AAB" w:rsidP="001D6AA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 xml:space="preserve">2. Татарстан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Респ</w:t>
      </w:r>
      <w:r>
        <w:rPr>
          <w:rFonts w:ascii="Times New Roman" w:hAnsi="Times New Roman" w:cs="Times New Roman"/>
          <w:sz w:val="28"/>
          <w:szCs w:val="28"/>
        </w:rPr>
        <w:t>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ACF">
        <w:rPr>
          <w:rFonts w:ascii="Times New Roman" w:hAnsi="Times New Roman" w:cs="Times New Roman"/>
          <w:sz w:val="28"/>
          <w:szCs w:val="28"/>
        </w:rPr>
        <w:t xml:space="preserve">2018 ел, 19 июль, 259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A01ACF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контролен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регламентны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r w:rsidRPr="00A01ACF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югалткан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санарга.</w:t>
      </w:r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AAB" w:rsidRPr="00A01ACF" w:rsidRDefault="001D6AAB" w:rsidP="001D6AA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>.</w:t>
      </w:r>
    </w:p>
    <w:p w:rsidR="001D6AAB" w:rsidRPr="00A01ACF" w:rsidRDefault="001D6AAB" w:rsidP="001D6AA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 xml:space="preserve">4.Әлеге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тотуны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Милек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мөнәсәбәтләре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1A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1ACF">
        <w:rPr>
          <w:rFonts w:ascii="Times New Roman" w:hAnsi="Times New Roman" w:cs="Times New Roman"/>
          <w:sz w:val="28"/>
          <w:szCs w:val="28"/>
        </w:rPr>
        <w:t>әисенә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>.</w:t>
      </w:r>
    </w:p>
    <w:p w:rsidR="001D6AAB" w:rsidRPr="00A01ACF" w:rsidRDefault="001D6AAB" w:rsidP="001D6AAB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D6AAB" w:rsidRPr="00A01ACF" w:rsidRDefault="001D6AAB" w:rsidP="001D6AAB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D6AAB" w:rsidRDefault="001D6AAB" w:rsidP="007D1AC9">
      <w:pPr>
        <w:pStyle w:val="FORMATTEXT"/>
        <w:rPr>
          <w:rFonts w:ascii="Times New Roman" w:hAnsi="Times New Roman" w:cs="Times New Roman"/>
          <w:sz w:val="24"/>
          <w:szCs w:val="24"/>
        </w:rPr>
      </w:pPr>
      <w:proofErr w:type="spellStart"/>
      <w:r w:rsidRPr="00A01ACF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A01ACF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A01ACF">
        <w:rPr>
          <w:rFonts w:ascii="Times New Roman" w:hAnsi="Times New Roman" w:cs="Times New Roman"/>
          <w:sz w:val="28"/>
          <w:szCs w:val="28"/>
        </w:rPr>
        <w:t>әкче</w:t>
      </w:r>
      <w:proofErr w:type="spellEnd"/>
      <w:r w:rsidR="007D1AC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01ACF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A01ACF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A01ACF">
        <w:rPr>
          <w:rFonts w:ascii="Times New Roman" w:hAnsi="Times New Roman" w:cs="Times New Roman"/>
          <w:sz w:val="28"/>
          <w:szCs w:val="28"/>
        </w:rPr>
        <w:t xml:space="preserve"> А. Ф.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Хәйретдинов</w:t>
      </w:r>
      <w:proofErr w:type="spellEnd"/>
    </w:p>
    <w:p w:rsidR="002B3AC2" w:rsidRPr="001D6AAB" w:rsidRDefault="009500E6" w:rsidP="001D6AAB"/>
    <w:sectPr w:rsidR="002B3AC2" w:rsidRPr="001D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F9"/>
    <w:rsid w:val="001D6AAB"/>
    <w:rsid w:val="00226EFD"/>
    <w:rsid w:val="004931AA"/>
    <w:rsid w:val="007D1AC9"/>
    <w:rsid w:val="009500E6"/>
    <w:rsid w:val="00D47FF9"/>
    <w:rsid w:val="00E42490"/>
    <w:rsid w:val="00F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F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D47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47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A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F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D47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47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A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Ramil</cp:lastModifiedBy>
  <cp:revision>5</cp:revision>
  <dcterms:created xsi:type="dcterms:W3CDTF">2019-05-29T11:26:00Z</dcterms:created>
  <dcterms:modified xsi:type="dcterms:W3CDTF">2019-06-06T07:19:00Z</dcterms:modified>
</cp:coreProperties>
</file>