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BF0BBA" w:rsidRPr="00BF0BBA" w:rsidTr="00FD4537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B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БАЛТАСИНСКИЙ РАЙОННЫЙ </w:t>
            </w:r>
          </w:p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НЫЙ КОМИТЕТ</w:t>
            </w:r>
          </w:p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РЕСПУБЛИКИ ТАТА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F0BBA" w:rsidRPr="00BF0BBA" w:rsidRDefault="00BF0BBA" w:rsidP="00FD4537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BF0BBA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BF0BBA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BF0BBA" w:rsidRPr="00BF0BBA" w:rsidRDefault="00BF0BBA" w:rsidP="00FD453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ТАТАРСТАН РЕСПУБЛИК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BF0BBA" w:rsidRPr="00BF0BBA" w:rsidRDefault="00BF0BBA" w:rsidP="00FD453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БАЛТАЧ  РАЙОН</w:t>
            </w:r>
            <w:proofErr w:type="gramEnd"/>
          </w:p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БАШКАРМА  КОМИТЕТЫ</w:t>
            </w:r>
            <w:proofErr w:type="gramEnd"/>
          </w:p>
        </w:tc>
      </w:tr>
      <w:tr w:rsidR="00BF0BBA" w:rsidRPr="00BF0BBA" w:rsidTr="00FD4537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BF0BBA" w:rsidRPr="00BF0BBA" w:rsidRDefault="00BF0BBA" w:rsidP="00FD4537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shd w:val="clear" w:color="auto" w:fill="auto"/>
          </w:tcPr>
          <w:p w:rsidR="00BF0BBA" w:rsidRPr="00BF0BBA" w:rsidRDefault="00BF0BBA" w:rsidP="00FD4537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BF0BB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BF0BBA" w:rsidRPr="00BF0BBA" w:rsidTr="00FD4537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BF0BBA" w:rsidRPr="00BF0BBA" w:rsidRDefault="00BF0BBA" w:rsidP="00FD4537">
            <w:pPr>
              <w:ind w:right="57"/>
              <w:rPr>
                <w:rFonts w:ascii="Times New Roman" w:hAnsi="Times New Roman" w:cs="Times New Roman"/>
                <w:sz w:val="20"/>
              </w:rPr>
            </w:pPr>
            <w:r w:rsidRPr="00BF0BBA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3335" t="12065" r="17780" b="158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2EA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BF0BBA" w:rsidRPr="00BF0BBA" w:rsidRDefault="00BF0BBA" w:rsidP="00BF0BBA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283"/>
        <w:gridCol w:w="1083"/>
        <w:gridCol w:w="3989"/>
      </w:tblGrid>
      <w:tr w:rsidR="00BF0BBA" w:rsidRPr="00BF0BBA" w:rsidTr="00FD4537">
        <w:tc>
          <w:tcPr>
            <w:tcW w:w="4368" w:type="dxa"/>
            <w:shd w:val="clear" w:color="auto" w:fill="auto"/>
          </w:tcPr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B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BF0BBA" w:rsidRPr="00BF0BBA" w:rsidRDefault="00BF0BBA" w:rsidP="00FD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BA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BF0BBA" w:rsidRPr="00BF0BBA" w:rsidTr="00FD4537">
        <w:trPr>
          <w:trHeight w:val="569"/>
        </w:trPr>
        <w:tc>
          <w:tcPr>
            <w:tcW w:w="4368" w:type="dxa"/>
            <w:shd w:val="clear" w:color="auto" w:fill="auto"/>
          </w:tcPr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>«__20__» ____03___  2019 г.</w:t>
            </w:r>
          </w:p>
        </w:tc>
        <w:tc>
          <w:tcPr>
            <w:tcW w:w="1136" w:type="dxa"/>
            <w:shd w:val="clear" w:color="auto" w:fill="auto"/>
          </w:tcPr>
          <w:p w:rsidR="00BF0BBA" w:rsidRPr="00BF0BBA" w:rsidRDefault="00BF0BBA" w:rsidP="00FD4537">
            <w:pPr>
              <w:rPr>
                <w:rFonts w:ascii="Times New Roman" w:hAnsi="Times New Roman" w:cs="Times New Roman"/>
                <w:noProof/>
              </w:rPr>
            </w:pPr>
          </w:p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152" w:type="dxa"/>
            <w:shd w:val="clear" w:color="auto" w:fill="auto"/>
          </w:tcPr>
          <w:p w:rsidR="00BF0BBA" w:rsidRPr="00BF0BBA" w:rsidRDefault="00BF0BBA" w:rsidP="00FD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 _136____</w:t>
            </w:r>
            <w:r w:rsidRPr="00BF0B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F0BBA" w:rsidRDefault="00BF0BBA" w:rsidP="00CB1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58C" w:rsidRPr="00BF0BBA" w:rsidRDefault="00CB1889" w:rsidP="00CB1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BA">
        <w:rPr>
          <w:rFonts w:ascii="Times New Roman" w:hAnsi="Times New Roman" w:cs="Times New Roman"/>
          <w:b/>
          <w:sz w:val="28"/>
          <w:szCs w:val="28"/>
        </w:rPr>
        <w:t xml:space="preserve">«Татарстан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Балтач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районында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җирләү</w:t>
      </w:r>
      <w:proofErr w:type="spellEnd"/>
      <w:r w:rsidR="00A96724"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724" w:rsidRPr="00BF0BBA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="00A96724"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724" w:rsidRPr="00BF0BBA">
        <w:rPr>
          <w:rFonts w:ascii="Times New Roman" w:hAnsi="Times New Roman" w:cs="Times New Roman"/>
          <w:b/>
          <w:sz w:val="28"/>
          <w:szCs w:val="28"/>
        </w:rPr>
        <w:t>хезмәтләрнең</w:t>
      </w:r>
      <w:proofErr w:type="spellEnd"/>
      <w:r w:rsidR="00A96724"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724" w:rsidRPr="00BF0BBA">
        <w:rPr>
          <w:rFonts w:ascii="Times New Roman" w:hAnsi="Times New Roman" w:cs="Times New Roman"/>
          <w:b/>
          <w:sz w:val="28"/>
          <w:szCs w:val="28"/>
        </w:rPr>
        <w:t>гарантияләнгән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исемлеге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нигезен</w:t>
      </w:r>
      <w:r w:rsidR="00A96724" w:rsidRPr="00BF0BBA">
        <w:rPr>
          <w:rFonts w:ascii="Times New Roman" w:hAnsi="Times New Roman" w:cs="Times New Roman"/>
          <w:b/>
          <w:sz w:val="28"/>
          <w:szCs w:val="28"/>
        </w:rPr>
        <w:t>дә</w:t>
      </w:r>
      <w:proofErr w:type="spellEnd"/>
      <w:r w:rsidR="00A96724"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724" w:rsidRPr="00BF0BBA">
        <w:rPr>
          <w:rFonts w:ascii="Times New Roman" w:hAnsi="Times New Roman" w:cs="Times New Roman"/>
          <w:b/>
          <w:sz w:val="28"/>
          <w:szCs w:val="28"/>
        </w:rPr>
        <w:t>күрсәтелә</w:t>
      </w:r>
      <w:proofErr w:type="spellEnd"/>
      <w:r w:rsidR="00A96724"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724" w:rsidRPr="00BF0BBA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="00A96724"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724" w:rsidRPr="00BF0BBA">
        <w:rPr>
          <w:rFonts w:ascii="Times New Roman" w:hAnsi="Times New Roman" w:cs="Times New Roman"/>
          <w:b/>
          <w:sz w:val="28"/>
          <w:szCs w:val="28"/>
        </w:rPr>
        <w:t>хезмәтләр</w:t>
      </w:r>
      <w:proofErr w:type="spellEnd"/>
      <w:r w:rsidR="00A96724"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кыйммәтен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раслау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>»</w:t>
      </w:r>
      <w:r w:rsidR="00FD2085" w:rsidRPr="00BF0B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F0BBA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Балтач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724" w:rsidRPr="00BF0BBA">
        <w:rPr>
          <w:rFonts w:ascii="Times New Roman" w:hAnsi="Times New Roman" w:cs="Times New Roman"/>
          <w:b/>
          <w:sz w:val="28"/>
          <w:szCs w:val="28"/>
        </w:rPr>
        <w:t>район</w:t>
      </w:r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башкарма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комитетының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елның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гыйнварындагы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63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номерлы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карары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үз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көчен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югалткан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дип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тану</w:t>
      </w:r>
      <w:proofErr w:type="spellEnd"/>
      <w:r w:rsidRPr="00BF0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BBA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CB1889" w:rsidRDefault="00CB1889" w:rsidP="00BF0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Фе</w:t>
      </w:r>
      <w:r w:rsidR="00A96724">
        <w:rPr>
          <w:rFonts w:ascii="Times New Roman" w:hAnsi="Times New Roman" w:cs="Times New Roman"/>
          <w:sz w:val="28"/>
          <w:szCs w:val="28"/>
        </w:rPr>
        <w:t>дераль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A96724">
        <w:rPr>
          <w:rFonts w:ascii="Times New Roman" w:hAnsi="Times New Roman" w:cs="Times New Roman"/>
          <w:sz w:val="28"/>
          <w:szCs w:val="28"/>
        </w:rPr>
        <w:t>маддәсендәге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өлешенең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22 пункты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CB1889">
        <w:rPr>
          <w:rFonts w:ascii="Times New Roman" w:hAnsi="Times New Roman" w:cs="Times New Roman"/>
          <w:sz w:val="28"/>
          <w:szCs w:val="28"/>
        </w:rPr>
        <w:t xml:space="preserve"> Тата</w:t>
      </w:r>
      <w:r w:rsidR="00A96724">
        <w:rPr>
          <w:rFonts w:ascii="Times New Roman" w:hAnsi="Times New Roman" w:cs="Times New Roman"/>
          <w:sz w:val="28"/>
          <w:szCs w:val="28"/>
        </w:rPr>
        <w:t xml:space="preserve">рстан </w:t>
      </w:r>
      <w:proofErr w:type="spellStart"/>
      <w:r w:rsidR="00A9672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комитеты КАРАР БИРӘ:</w:t>
      </w:r>
    </w:p>
    <w:p w:rsidR="00A96724" w:rsidRDefault="00CB1889" w:rsidP="00BF0B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24">
        <w:rPr>
          <w:rFonts w:ascii="Times New Roman" w:hAnsi="Times New Roman" w:cs="Times New Roman"/>
          <w:sz w:val="28"/>
          <w:szCs w:val="28"/>
        </w:rPr>
        <w:t xml:space="preserve"> «Татарстан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Бал</w:t>
      </w:r>
      <w:r w:rsidR="00FD2085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8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85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85">
        <w:rPr>
          <w:rFonts w:ascii="Times New Roman" w:hAnsi="Times New Roman" w:cs="Times New Roman"/>
          <w:sz w:val="28"/>
          <w:szCs w:val="28"/>
        </w:rPr>
        <w:t>җирләү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хезмәтләрнең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гарантияләнгән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күрсәтелә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хезмәтләр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кыйммәтен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>»</w:t>
      </w:r>
      <w:r w:rsidR="00A96724" w:rsidRPr="00A96724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="00A96724" w:rsidRPr="00A9672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A96724"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 w:rsidRPr="00A96724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="00A96724" w:rsidRPr="00A96724">
        <w:rPr>
          <w:rFonts w:ascii="Times New Roman" w:hAnsi="Times New Roman" w:cs="Times New Roman"/>
          <w:sz w:val="28"/>
          <w:szCs w:val="28"/>
        </w:rPr>
        <w:t xml:space="preserve"> </w:t>
      </w:r>
      <w:r w:rsidR="00A96724">
        <w:rPr>
          <w:rFonts w:ascii="Times New Roman" w:hAnsi="Times New Roman" w:cs="Times New Roman"/>
          <w:sz w:val="28"/>
          <w:szCs w:val="28"/>
        </w:rPr>
        <w:t>район</w:t>
      </w:r>
      <w:r w:rsidR="00A96724"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 w:rsidRPr="00A96724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A96724"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 w:rsidRPr="00A96724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гыйнварындагы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63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A96724" w:rsidRPr="00A96724">
        <w:rPr>
          <w:rFonts w:ascii="Times New Roman" w:hAnsi="Times New Roman" w:cs="Times New Roman"/>
          <w:sz w:val="28"/>
          <w:szCs w:val="28"/>
          <w:lang w:val="tt-RU"/>
        </w:rPr>
        <w:t xml:space="preserve"> карары 2019 елның 19 мартыннан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көч</w:t>
      </w:r>
      <w:r w:rsidR="00A96724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>
        <w:rPr>
          <w:rFonts w:ascii="Times New Roman" w:hAnsi="Times New Roman" w:cs="Times New Roman"/>
          <w:sz w:val="28"/>
          <w:szCs w:val="28"/>
        </w:rPr>
        <w:t>югалткан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724">
        <w:rPr>
          <w:rFonts w:ascii="Times New Roman" w:hAnsi="Times New Roman" w:cs="Times New Roman"/>
          <w:sz w:val="28"/>
          <w:szCs w:val="28"/>
        </w:rPr>
        <w:t>танырга</w:t>
      </w:r>
      <w:proofErr w:type="spellEnd"/>
      <w:r w:rsidR="00A96724">
        <w:rPr>
          <w:rFonts w:ascii="Times New Roman" w:hAnsi="Times New Roman" w:cs="Times New Roman"/>
          <w:sz w:val="28"/>
          <w:szCs w:val="28"/>
        </w:rPr>
        <w:t>.</w:t>
      </w:r>
    </w:p>
    <w:p w:rsidR="00CB1889" w:rsidRPr="00A96724" w:rsidRDefault="00CB1889" w:rsidP="00BF0B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72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«Татарстан</w:t>
      </w:r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8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85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85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порталы» интернет –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юлы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игълан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24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A96724">
        <w:rPr>
          <w:rFonts w:ascii="Times New Roman" w:hAnsi="Times New Roman" w:cs="Times New Roman"/>
          <w:sz w:val="28"/>
          <w:szCs w:val="28"/>
        </w:rPr>
        <w:t xml:space="preserve"> baltasi.tatarstan.ru.</w:t>
      </w:r>
    </w:p>
    <w:p w:rsidR="00CB1889" w:rsidRDefault="00CB1889" w:rsidP="00BF0B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урынбасары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2085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="00FD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мәсьәләләр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1889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Pr="00CB1889">
        <w:rPr>
          <w:rFonts w:ascii="Times New Roman" w:hAnsi="Times New Roman" w:cs="Times New Roman"/>
          <w:sz w:val="28"/>
          <w:szCs w:val="28"/>
        </w:rPr>
        <w:t>.</w:t>
      </w:r>
    </w:p>
    <w:p w:rsidR="00CB1889" w:rsidRDefault="00CB1889" w:rsidP="00CB18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6724" w:rsidRDefault="00CB1889" w:rsidP="00CB1889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Җитәкче                                                                       А.Ф.Хәйретдинов </w:t>
      </w:r>
    </w:p>
    <w:p w:rsidR="00CB1889" w:rsidRPr="00A96724" w:rsidRDefault="00CB1889" w:rsidP="00A96724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CB1889" w:rsidRPr="00A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20942"/>
    <w:multiLevelType w:val="hybridMultilevel"/>
    <w:tmpl w:val="1C80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F"/>
    <w:rsid w:val="008F492F"/>
    <w:rsid w:val="00A96724"/>
    <w:rsid w:val="00B3658C"/>
    <w:rsid w:val="00BF0BBA"/>
    <w:rsid w:val="00CB1889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B8F8EB7E-CAB7-44A3-B4AC-3E5B5B72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User Windows</cp:lastModifiedBy>
  <cp:revision>3</cp:revision>
  <dcterms:created xsi:type="dcterms:W3CDTF">2019-03-27T05:54:00Z</dcterms:created>
  <dcterms:modified xsi:type="dcterms:W3CDTF">2019-03-27T11:10:00Z</dcterms:modified>
</cp:coreProperties>
</file>