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8" w:type="dxa"/>
        <w:jc w:val="center"/>
        <w:tblInd w:w="-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3"/>
        <w:gridCol w:w="1165"/>
        <w:gridCol w:w="3960"/>
      </w:tblGrid>
      <w:tr w:rsidR="00EC34AA" w:rsidRPr="00A7666E" w:rsidTr="00EC34AA">
        <w:trPr>
          <w:trHeight w:val="1071"/>
          <w:jc w:val="center"/>
        </w:trPr>
        <w:tc>
          <w:tcPr>
            <w:tcW w:w="3753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A7666E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A7666E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C34AA" w:rsidRPr="00A7666E" w:rsidRDefault="00EC34AA" w:rsidP="00EC34A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БАЛТАЧ  РАЙОН</w:t>
            </w: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EC34AA" w:rsidRPr="00A7666E" w:rsidTr="00EC34AA">
        <w:trPr>
          <w:trHeight w:val="70"/>
          <w:jc w:val="center"/>
        </w:trPr>
        <w:tc>
          <w:tcPr>
            <w:tcW w:w="3753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A7666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EC34AA" w:rsidRPr="00A7666E" w:rsidTr="00EC34AA">
        <w:trPr>
          <w:trHeight w:val="669"/>
          <w:jc w:val="center"/>
        </w:trPr>
        <w:tc>
          <w:tcPr>
            <w:tcW w:w="8878" w:type="dxa"/>
            <w:gridSpan w:val="3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4AA" w:rsidRPr="00A7666E" w:rsidRDefault="002470B3" w:rsidP="00EC34A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bidi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0.65pt;margin-top:3.7pt;width:482.8pt;height:.05pt;z-index:251660288" o:connectortype="straight" strokeweight="1.5pt"/>
              </w:pict>
            </w:r>
          </w:p>
        </w:tc>
      </w:tr>
    </w:tbl>
    <w:p w:rsidR="00EC34AA" w:rsidRPr="00A7666E" w:rsidRDefault="00EC34AA" w:rsidP="00EC34AA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EC34AA" w:rsidRPr="00A7666E" w:rsidTr="00A61D55">
        <w:tc>
          <w:tcPr>
            <w:tcW w:w="4368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EC34AA" w:rsidRPr="00A7666E" w:rsidTr="00A61D55">
        <w:trPr>
          <w:trHeight w:val="569"/>
        </w:trPr>
        <w:tc>
          <w:tcPr>
            <w:tcW w:w="4368" w:type="dxa"/>
            <w:shd w:val="clear" w:color="auto" w:fill="auto"/>
          </w:tcPr>
          <w:p w:rsidR="00EC34AA" w:rsidRPr="00A7666E" w:rsidRDefault="00EC34AA" w:rsidP="006775E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75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775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75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 </w:t>
            </w: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 xml:space="preserve">  2018 г.</w:t>
            </w:r>
          </w:p>
        </w:tc>
        <w:tc>
          <w:tcPr>
            <w:tcW w:w="1136" w:type="dxa"/>
            <w:shd w:val="clear" w:color="auto" w:fill="auto"/>
          </w:tcPr>
          <w:p w:rsidR="00EC34AA" w:rsidRPr="00A7666E" w:rsidRDefault="00EC34AA" w:rsidP="00EC34AA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EC34AA" w:rsidRPr="00A7666E" w:rsidRDefault="00EC34AA" w:rsidP="00EC34A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EC34AA" w:rsidRPr="00A7666E" w:rsidRDefault="00EC34AA" w:rsidP="00677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66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6775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327</w:t>
            </w:r>
            <w:bookmarkStart w:id="0" w:name="_GoBack"/>
            <w:bookmarkEnd w:id="0"/>
            <w:r w:rsidRPr="00A766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25951" w:rsidRDefault="00425951" w:rsidP="00425951">
      <w:pPr>
        <w:pStyle w:val="Bodytext6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25951" w:rsidRPr="00BC31EB" w:rsidRDefault="002746AA" w:rsidP="002746AA">
      <w:pPr>
        <w:pStyle w:val="Bodytext6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425951">
        <w:rPr>
          <w:sz w:val="28"/>
          <w:szCs w:val="28"/>
        </w:rPr>
        <w:t xml:space="preserve">Татарстан </w:t>
      </w:r>
      <w:proofErr w:type="spellStart"/>
      <w:r w:rsidRPr="00425951">
        <w:rPr>
          <w:sz w:val="28"/>
          <w:szCs w:val="28"/>
        </w:rPr>
        <w:t>Республикасы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Балтач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муниципаль</w:t>
      </w:r>
      <w:proofErr w:type="spellEnd"/>
      <w:r w:rsidRPr="00425951">
        <w:rPr>
          <w:sz w:val="28"/>
          <w:szCs w:val="28"/>
        </w:rPr>
        <w:t xml:space="preserve"> районы </w:t>
      </w:r>
      <w:proofErr w:type="spellStart"/>
      <w:r w:rsidRPr="00425951">
        <w:rPr>
          <w:sz w:val="28"/>
          <w:szCs w:val="28"/>
        </w:rPr>
        <w:t>территориясендә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шәһә</w:t>
      </w:r>
      <w:proofErr w:type="gramStart"/>
      <w:r w:rsidRPr="00425951">
        <w:rPr>
          <w:sz w:val="28"/>
          <w:szCs w:val="28"/>
        </w:rPr>
        <w:t>р</w:t>
      </w:r>
      <w:proofErr w:type="spellEnd"/>
      <w:proofErr w:type="gram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яны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юл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транспортында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пассажирлар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һәм</w:t>
      </w:r>
      <w:proofErr w:type="spellEnd"/>
      <w:r w:rsidRPr="00425951">
        <w:rPr>
          <w:sz w:val="28"/>
          <w:szCs w:val="28"/>
        </w:rPr>
        <w:t xml:space="preserve"> багаж </w:t>
      </w:r>
      <w:proofErr w:type="spellStart"/>
      <w:r w:rsidRPr="00425951">
        <w:rPr>
          <w:sz w:val="28"/>
          <w:szCs w:val="28"/>
        </w:rPr>
        <w:t>алып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баруга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максималь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дәрәҗәдә</w:t>
      </w:r>
      <w:proofErr w:type="spellEnd"/>
      <w:r w:rsidRPr="00425951">
        <w:rPr>
          <w:sz w:val="28"/>
          <w:szCs w:val="28"/>
        </w:rPr>
        <w:t xml:space="preserve"> чик </w:t>
      </w:r>
      <w:proofErr w:type="spellStart"/>
      <w:r w:rsidRPr="00425951">
        <w:rPr>
          <w:sz w:val="28"/>
          <w:szCs w:val="28"/>
        </w:rPr>
        <w:t>тарифларны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билгеләү</w:t>
      </w:r>
      <w:proofErr w:type="spellEnd"/>
      <w:r w:rsidRPr="00425951">
        <w:rPr>
          <w:sz w:val="28"/>
          <w:szCs w:val="28"/>
        </w:rPr>
        <w:t xml:space="preserve"> </w:t>
      </w:r>
      <w:proofErr w:type="spellStart"/>
      <w:r w:rsidRPr="00425951">
        <w:rPr>
          <w:sz w:val="28"/>
          <w:szCs w:val="28"/>
        </w:rPr>
        <w:t>турында</w:t>
      </w:r>
      <w:proofErr w:type="spellEnd"/>
      <w:r w:rsidRPr="00425951">
        <w:rPr>
          <w:sz w:val="28"/>
          <w:szCs w:val="28"/>
        </w:rPr>
        <w:t xml:space="preserve"> </w:t>
      </w:r>
      <w:r w:rsidR="00425951" w:rsidRPr="00425951">
        <w:rPr>
          <w:sz w:val="28"/>
          <w:szCs w:val="28"/>
        </w:rPr>
        <w:t xml:space="preserve">Татарстан </w:t>
      </w:r>
      <w:proofErr w:type="spellStart"/>
      <w:r w:rsidR="00425951" w:rsidRPr="00425951">
        <w:rPr>
          <w:sz w:val="28"/>
          <w:szCs w:val="28"/>
        </w:rPr>
        <w:t>Респу</w:t>
      </w:r>
      <w:r w:rsidR="00425951">
        <w:rPr>
          <w:sz w:val="28"/>
          <w:szCs w:val="28"/>
        </w:rPr>
        <w:t>бликасы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Министрлар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Кабинетының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пассажирларны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даими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йөртүне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гамәлгә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ашыруга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бәйле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эшләр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башкаруга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киткән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чыгымнарның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бер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өлешен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каплау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максатларын</w:t>
      </w:r>
      <w:r w:rsidR="00DE4EC3">
        <w:rPr>
          <w:sz w:val="28"/>
          <w:szCs w:val="28"/>
        </w:rPr>
        <w:t>нан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пассажирлар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йөртүчеләргә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425951" w:rsidRPr="00425951">
        <w:rPr>
          <w:sz w:val="28"/>
          <w:szCs w:val="28"/>
        </w:rPr>
        <w:t>субсидиял</w:t>
      </w:r>
      <w:r w:rsidR="00425951">
        <w:rPr>
          <w:sz w:val="28"/>
          <w:szCs w:val="28"/>
        </w:rPr>
        <w:t>әр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бирү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тәртибен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раслау</w:t>
      </w:r>
      <w:proofErr w:type="spellEnd"/>
      <w:r w:rsidR="00425951">
        <w:rPr>
          <w:sz w:val="28"/>
          <w:szCs w:val="28"/>
        </w:rPr>
        <w:t xml:space="preserve"> </w:t>
      </w:r>
      <w:proofErr w:type="spellStart"/>
      <w:r w:rsidR="00425951">
        <w:rPr>
          <w:sz w:val="28"/>
          <w:szCs w:val="28"/>
        </w:rPr>
        <w:t>турында</w:t>
      </w:r>
      <w:proofErr w:type="spellEnd"/>
      <w:r w:rsidR="00425951" w:rsidRPr="00425951">
        <w:rPr>
          <w:sz w:val="28"/>
          <w:szCs w:val="28"/>
        </w:rPr>
        <w:t xml:space="preserve"> </w:t>
      </w:r>
      <w:proofErr w:type="spellStart"/>
      <w:r w:rsidR="001A1AE5">
        <w:rPr>
          <w:sz w:val="28"/>
          <w:szCs w:val="28"/>
        </w:rPr>
        <w:t>карар</w:t>
      </w:r>
      <w:proofErr w:type="spellEnd"/>
    </w:p>
    <w:p w:rsidR="00EB5D7C" w:rsidRDefault="00EB5D7C" w:rsidP="00425951">
      <w:pPr>
        <w:spacing w:after="0" w:line="240" w:lineRule="auto"/>
        <w:ind w:firstLine="709"/>
        <w:jc w:val="both"/>
      </w:pPr>
    </w:p>
    <w:p w:rsidR="002746AA" w:rsidRDefault="002746AA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2746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транспортында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пассажирлар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багаж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ташу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камилләштерү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районы чикләрендә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хезмәтләреннән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бертигез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файдалануны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максатларын</w:t>
      </w:r>
      <w:r w:rsidR="00DE4EC3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06.10.2003 ел, № 131-ФЗ "Россия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законга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статьясына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«Россия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транспортында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2746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өсте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транспортында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пассажирлар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багажны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йөртүне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актларына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» 2015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220-ФЗ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Хөкүмәтенең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елн</w:t>
      </w:r>
      <w:r>
        <w:rPr>
          <w:rFonts w:ascii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46AA">
        <w:rPr>
          <w:rFonts w:ascii="Times New Roman" w:hAnsi="Times New Roman" w:cs="Times New Roman"/>
          <w:sz w:val="28"/>
          <w:szCs w:val="28"/>
        </w:rPr>
        <w:t xml:space="preserve"> № 887»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учреждениеләргә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субсидияләрдән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эшкуарларга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Pr="002746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күрсәтүләр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җитештерүчеләргә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физик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2746AA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  <w:r w:rsidRPr="00274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b/>
          <w:sz w:val="28"/>
          <w:szCs w:val="28"/>
        </w:rPr>
        <w:t>бирә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>:</w:t>
      </w:r>
    </w:p>
    <w:p w:rsidR="002746AA" w:rsidRDefault="002746AA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6AA">
        <w:rPr>
          <w:rFonts w:ascii="Times New Roman" w:hAnsi="Times New Roman" w:cs="Times New Roman"/>
          <w:sz w:val="28"/>
          <w:szCs w:val="28"/>
        </w:rPr>
        <w:t xml:space="preserve">1.Татарстан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2746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элемтәсенең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маршрутлары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транспортында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пассажирлар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багажны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җайга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салынулы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тарифлар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пассажирлар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һәм багаж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йөртүне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ашыруга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башкаруга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каплау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максатларын</w:t>
      </w:r>
      <w:r w:rsidR="00DE4EC3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пассажирлар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lastRenderedPageBreak/>
        <w:t>йөртүчеләргә</w:t>
      </w:r>
      <w:proofErr w:type="spellEnd"/>
      <w:r w:rsidRPr="0027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AA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>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тәрт</w:t>
      </w:r>
      <w:r w:rsidR="002E1A67">
        <w:rPr>
          <w:rFonts w:ascii="Times New Roman" w:hAnsi="Times New Roman" w:cs="Times New Roman"/>
          <w:sz w:val="28"/>
          <w:szCs w:val="28"/>
        </w:rPr>
        <w:t>ибен</w:t>
      </w:r>
      <w:proofErr w:type="spellEnd"/>
      <w:r w:rsidR="002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A67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1A67" w:rsidRPr="002E1A67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2E1A67" w:rsidRPr="002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A67" w:rsidRPr="002E1A67">
        <w:rPr>
          <w:rFonts w:ascii="Times New Roman" w:hAnsi="Times New Roman" w:cs="Times New Roman"/>
          <w:sz w:val="28"/>
          <w:szCs w:val="28"/>
        </w:rPr>
        <w:t>карарга</w:t>
      </w:r>
      <w:proofErr w:type="spellEnd"/>
      <w:r w:rsidR="002E1A67" w:rsidRPr="002E1A6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2E1A67" w:rsidRPr="002E1A67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2E1A67" w:rsidRPr="002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1A67" w:rsidRPr="002E1A67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="002E1A67" w:rsidRPr="002E1A6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E1A67" w:rsidRDefault="002E1A67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E1A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A67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2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A6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E1A67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2E1A67">
        <w:rPr>
          <w:rFonts w:ascii="Times New Roman" w:hAnsi="Times New Roman" w:cs="Times New Roman"/>
          <w:sz w:val="28"/>
          <w:szCs w:val="28"/>
        </w:rPr>
        <w:t>бюджетыннан</w:t>
      </w:r>
      <w:proofErr w:type="spellEnd"/>
      <w:r w:rsidRPr="002E1A67">
        <w:rPr>
          <w:rFonts w:ascii="Times New Roman" w:hAnsi="Times New Roman" w:cs="Times New Roman"/>
          <w:sz w:val="28"/>
          <w:szCs w:val="28"/>
        </w:rPr>
        <w:t xml:space="preserve"> субсидиялә</w:t>
      </w:r>
      <w:proofErr w:type="gramStart"/>
      <w:r w:rsidRPr="002E1A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A67">
        <w:rPr>
          <w:rFonts w:ascii="Times New Roman" w:hAnsi="Times New Roman" w:cs="Times New Roman"/>
          <w:sz w:val="28"/>
          <w:szCs w:val="28"/>
        </w:rPr>
        <w:t xml:space="preserve"> бирү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буенча </w:t>
      </w:r>
      <w:r>
        <w:rPr>
          <w:rFonts w:ascii="Times New Roman" w:hAnsi="Times New Roman" w:cs="Times New Roman"/>
          <w:sz w:val="28"/>
          <w:szCs w:val="28"/>
        </w:rPr>
        <w:t>комиссия составы</w:t>
      </w:r>
      <w:r>
        <w:rPr>
          <w:rFonts w:ascii="Times New Roman" w:hAnsi="Times New Roman" w:cs="Times New Roman"/>
          <w:sz w:val="28"/>
          <w:szCs w:val="28"/>
          <w:lang w:val="tt-RU"/>
        </w:rPr>
        <w:t>н 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асларга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(әлеге карарга 2 нче кушымта).</w:t>
      </w:r>
    </w:p>
    <w:p w:rsidR="002E1A67" w:rsidRDefault="00EC34AA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E1A67" w:rsidRPr="002E1A6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E1A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1A67" w:rsidRPr="002E1A67">
        <w:rPr>
          <w:rFonts w:ascii="Times New Roman" w:hAnsi="Times New Roman" w:cs="Times New Roman"/>
          <w:sz w:val="28"/>
          <w:szCs w:val="28"/>
          <w:lang w:val="tt-RU"/>
        </w:rPr>
        <w:t>Әлеге карарны билгеләнгән тәртиптә массакүләм мәгълүмат чараларында бастырып чыгарырга һәм Балтач муниципаль районының рәсми сайтында урнаштырырга.</w:t>
      </w:r>
    </w:p>
    <w:p w:rsidR="002E1A67" w:rsidRPr="002E1A67" w:rsidRDefault="00EC34AA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2E1A67" w:rsidRPr="002E1A6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E1A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1A67" w:rsidRPr="002E1A67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контрольдә тотуны Татарстан Республикасы Балтач район башкарма комитеты җитәкчесенең беренче урынбасарына йөкләргә.</w:t>
      </w:r>
    </w:p>
    <w:p w:rsidR="002E1A67" w:rsidRDefault="002E1A67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E1A67" w:rsidRDefault="002E1A67" w:rsidP="0042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E1A67" w:rsidRPr="002E1A67" w:rsidRDefault="002E1A67" w:rsidP="002E1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1A67"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</w:p>
    <w:p w:rsidR="002E1A67" w:rsidRPr="002E1A67" w:rsidRDefault="002E1A67" w:rsidP="002E1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1A6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Балтач районы </w:t>
      </w:r>
    </w:p>
    <w:p w:rsidR="002E1A67" w:rsidRPr="002E1A67" w:rsidRDefault="00EC34AA" w:rsidP="002E1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башк</w:t>
      </w:r>
      <w:r w:rsidR="002E1A67" w:rsidRPr="002E1A6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арма комитет җитәкчесе                   </w:t>
      </w:r>
      <w:r w:rsidR="002E1A6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="002E1A67" w:rsidRPr="002E1A6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Р.И.Шакиров</w:t>
      </w:r>
    </w:p>
    <w:p w:rsidR="002E1A67" w:rsidRPr="002E1A67" w:rsidRDefault="002E1A67" w:rsidP="002E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E1A67" w:rsidRPr="002E1A67" w:rsidSect="00EC34A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B3" w:rsidRDefault="002470B3" w:rsidP="00425951">
      <w:pPr>
        <w:spacing w:after="0" w:line="240" w:lineRule="auto"/>
      </w:pPr>
      <w:r>
        <w:separator/>
      </w:r>
    </w:p>
  </w:endnote>
  <w:endnote w:type="continuationSeparator" w:id="0">
    <w:p w:rsidR="002470B3" w:rsidRDefault="002470B3" w:rsidP="0042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B3" w:rsidRDefault="002470B3" w:rsidP="00425951">
      <w:pPr>
        <w:spacing w:after="0" w:line="240" w:lineRule="auto"/>
      </w:pPr>
      <w:r>
        <w:separator/>
      </w:r>
    </w:p>
  </w:footnote>
  <w:footnote w:type="continuationSeparator" w:id="0">
    <w:p w:rsidR="002470B3" w:rsidRDefault="002470B3" w:rsidP="00425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678"/>
    <w:rsid w:val="001A1AE5"/>
    <w:rsid w:val="002470B3"/>
    <w:rsid w:val="002746AA"/>
    <w:rsid w:val="002E1A67"/>
    <w:rsid w:val="00425951"/>
    <w:rsid w:val="004E66F6"/>
    <w:rsid w:val="005C5111"/>
    <w:rsid w:val="006775E3"/>
    <w:rsid w:val="008645F6"/>
    <w:rsid w:val="00865730"/>
    <w:rsid w:val="00AE49BA"/>
    <w:rsid w:val="00DD5678"/>
    <w:rsid w:val="00DE4EC3"/>
    <w:rsid w:val="00E51998"/>
    <w:rsid w:val="00E900DC"/>
    <w:rsid w:val="00EB5D7C"/>
    <w:rsid w:val="00EC34AA"/>
    <w:rsid w:val="00F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rsid w:val="004259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425951"/>
    <w:pPr>
      <w:widowControl w:val="0"/>
      <w:shd w:val="clear" w:color="auto" w:fill="FFFFFF"/>
      <w:spacing w:before="120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42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51"/>
  </w:style>
  <w:style w:type="paragraph" w:styleId="a5">
    <w:name w:val="footer"/>
    <w:basedOn w:val="a"/>
    <w:link w:val="a6"/>
    <w:uiPriority w:val="99"/>
    <w:unhideWhenUsed/>
    <w:rsid w:val="0042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51"/>
  </w:style>
  <w:style w:type="paragraph" w:styleId="a7">
    <w:name w:val="List Paragraph"/>
    <w:basedOn w:val="a"/>
    <w:uiPriority w:val="34"/>
    <w:qFormat/>
    <w:rsid w:val="002746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rsid w:val="004259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425951"/>
    <w:pPr>
      <w:widowControl w:val="0"/>
      <w:shd w:val="clear" w:color="auto" w:fill="FFFFFF"/>
      <w:spacing w:before="120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42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51"/>
  </w:style>
  <w:style w:type="paragraph" w:styleId="a5">
    <w:name w:val="footer"/>
    <w:basedOn w:val="a"/>
    <w:link w:val="a6"/>
    <w:uiPriority w:val="99"/>
    <w:unhideWhenUsed/>
    <w:rsid w:val="0042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51"/>
  </w:style>
  <w:style w:type="paragraph" w:styleId="a7">
    <w:name w:val="List Paragraph"/>
    <w:basedOn w:val="a"/>
    <w:uiPriority w:val="34"/>
    <w:qFormat/>
    <w:rsid w:val="0027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USERF</cp:lastModifiedBy>
  <cp:revision>4</cp:revision>
  <cp:lastPrinted>2018-10-23T07:21:00Z</cp:lastPrinted>
  <dcterms:created xsi:type="dcterms:W3CDTF">2018-09-26T09:54:00Z</dcterms:created>
  <dcterms:modified xsi:type="dcterms:W3CDTF">2018-10-26T07:34:00Z</dcterms:modified>
</cp:coreProperties>
</file>