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025A3" w:rsidTr="003025A3">
        <w:trPr>
          <w:trHeight w:val="1071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025A3" w:rsidRPr="00B873AD" w:rsidRDefault="003025A3" w:rsidP="003025A3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DD038B" wp14:editId="0FDDCB8F">
                  <wp:extent cx="657225" cy="828675"/>
                  <wp:effectExtent l="0" t="0" r="9525" b="9525"/>
                  <wp:docPr id="4" name="Рисунок 4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3025A3" w:rsidRPr="00B873AD" w:rsidRDefault="003025A3" w:rsidP="003025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3025A3" w:rsidTr="003025A3">
        <w:trPr>
          <w:trHeight w:val="70"/>
          <w:jc w:val="center"/>
        </w:trPr>
        <w:tc>
          <w:tcPr>
            <w:tcW w:w="4256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, д. 2а,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 xml:space="preserve"> </w:t>
            </w:r>
            <w:proofErr w:type="gramStart"/>
            <w:r w:rsidRPr="00B873AD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B873AD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025A3" w:rsidRPr="00B873AD" w:rsidRDefault="003025A3" w:rsidP="003025A3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B873AD">
              <w:rPr>
                <w:rFonts w:ascii="Times New Roman" w:hAnsi="Times New Roman"/>
                <w:szCs w:val="24"/>
              </w:rPr>
              <w:t xml:space="preserve">   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М.Җәлил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>., 2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а</w:t>
            </w:r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нче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йорты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</w:p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B873AD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B873A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873AD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B873AD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B873AD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3025A3" w:rsidRPr="0004564B" w:rsidTr="003025A3">
        <w:trPr>
          <w:trHeight w:val="669"/>
          <w:jc w:val="center"/>
        </w:trPr>
        <w:tc>
          <w:tcPr>
            <w:tcW w:w="9630" w:type="dxa"/>
            <w:gridSpan w:val="3"/>
          </w:tcPr>
          <w:p w:rsidR="003025A3" w:rsidRPr="00B873AD" w:rsidRDefault="003025A3" w:rsidP="003025A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25A3" w:rsidRPr="00B873AD" w:rsidRDefault="003025A3" w:rsidP="0004564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AD6DB2E" wp14:editId="2FA350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873AD">
              <w:rPr>
                <w:rFonts w:ascii="Times New Roman" w:hAnsi="Times New Roman"/>
                <w:szCs w:val="24"/>
              </w:rPr>
              <w:t>Тел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.: (84368) 3-15-10, </w:t>
            </w:r>
            <w:r w:rsidRPr="00B873AD">
              <w:rPr>
                <w:rFonts w:ascii="Times New Roman" w:hAnsi="Times New Roman"/>
                <w:szCs w:val="24"/>
              </w:rPr>
              <w:t>факс</w:t>
            </w:r>
            <w:r w:rsidRPr="0004564B">
              <w:rPr>
                <w:rFonts w:ascii="Times New Roman" w:hAnsi="Times New Roman"/>
                <w:szCs w:val="24"/>
                <w:lang w:val="en-US"/>
              </w:rPr>
              <w:t xml:space="preserve">: (84368) 3-15-03. </w:t>
            </w:r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="0004564B" w:rsidRPr="001A4862">
                <w:rPr>
                  <w:rStyle w:val="a5"/>
                  <w:rFonts w:ascii="Times New Roman" w:hAnsi="Times New Roman"/>
                  <w:szCs w:val="24"/>
                  <w:lang w:val="en-US"/>
                </w:rPr>
                <w:t>Norm.Blt@tatar.ru</w:t>
              </w:r>
            </w:hyperlink>
            <w:r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3025A3" w:rsidTr="00B932B0">
        <w:trPr>
          <w:trHeight w:val="1187"/>
          <w:jc w:val="center"/>
        </w:trPr>
        <w:tc>
          <w:tcPr>
            <w:tcW w:w="4256" w:type="dxa"/>
          </w:tcPr>
          <w:p w:rsidR="003025A3" w:rsidRPr="00B873AD" w:rsidRDefault="003025A3" w:rsidP="003025A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3025A3" w:rsidRPr="00B873AD" w:rsidRDefault="003025A3" w:rsidP="003A7477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1940C3">
              <w:rPr>
                <w:rFonts w:ascii="Times New Roman" w:hAnsi="Times New Roman"/>
                <w:sz w:val="28"/>
                <w:szCs w:val="28"/>
              </w:rPr>
              <w:t>2</w:t>
            </w:r>
            <w:r w:rsidR="003A7477"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7813EE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362AD4">
              <w:rPr>
                <w:rFonts w:ascii="Times New Roman" w:hAnsi="Times New Roman"/>
                <w:sz w:val="28"/>
                <w:szCs w:val="28"/>
              </w:rPr>
              <w:t>7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3025A3" w:rsidRPr="00B873AD" w:rsidRDefault="003025A3" w:rsidP="003025A3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025A3" w:rsidRPr="00B873AD" w:rsidRDefault="003025A3" w:rsidP="003025A3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3025A3" w:rsidRPr="00B873AD" w:rsidRDefault="003025A3" w:rsidP="003A747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</w:t>
            </w:r>
            <w:r w:rsidR="003A7477">
              <w:rPr>
                <w:rFonts w:ascii="Times New Roman" w:hAnsi="Times New Roman"/>
                <w:iCs/>
                <w:sz w:val="28"/>
                <w:szCs w:val="28"/>
              </w:rPr>
              <w:t xml:space="preserve"> 55</w:t>
            </w:r>
          </w:p>
        </w:tc>
      </w:tr>
    </w:tbl>
    <w:p w:rsidR="00B932B0" w:rsidRPr="007813EE" w:rsidRDefault="00B932B0" w:rsidP="00B932B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32B0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06C58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отчета об </w:t>
      </w:r>
      <w:r w:rsidRPr="00B932B0">
        <w:rPr>
          <w:rFonts w:ascii="Times New Roman" w:hAnsi="Times New Roman" w:cs="Times New Roman"/>
          <w:b/>
          <w:bCs/>
          <w:sz w:val="28"/>
          <w:szCs w:val="28"/>
        </w:rPr>
        <w:t>исполнении бюджета Норминского сельского поселения Балтасинского муниципального района Республики Татарстан за 20</w:t>
      </w:r>
      <w:r w:rsidRPr="00B932B0">
        <w:rPr>
          <w:rFonts w:ascii="Times New Roman" w:hAnsi="Times New Roman" w:cs="Times New Roman"/>
          <w:b/>
          <w:bCs/>
          <w:sz w:val="28"/>
          <w:szCs w:val="28"/>
          <w:lang w:val="tt-RU"/>
        </w:rPr>
        <w:t>1</w:t>
      </w:r>
      <w:r w:rsidR="004A19D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6 </w:t>
      </w:r>
      <w:r w:rsidR="005E0C67" w:rsidRPr="007813E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7813EE" w:rsidRPr="007813EE" w:rsidRDefault="00B06C58" w:rsidP="00B06C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6C5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 Бюджетным кодексом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813EE" w:rsidRPr="00B06C58">
        <w:rPr>
          <w:rFonts w:ascii="Times New Roman" w:hAnsi="Times New Roman" w:cs="Times New Roman"/>
          <w:sz w:val="28"/>
          <w:szCs w:val="28"/>
        </w:rPr>
        <w:t xml:space="preserve">ассмотрев представленный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комитета </w:t>
      </w:r>
      <w:r w:rsidR="007813EE" w:rsidRPr="00B06C58">
        <w:rPr>
          <w:rFonts w:ascii="Times New Roman" w:hAnsi="Times New Roman" w:cs="Times New Roman"/>
          <w:sz w:val="28"/>
          <w:szCs w:val="28"/>
        </w:rPr>
        <w:t xml:space="preserve"> поселения отчет об исполнении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 бюджета за 20</w:t>
      </w:r>
      <w:r w:rsidR="007813EE" w:rsidRPr="007813EE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813EE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7813EE" w:rsidRPr="007813EE">
        <w:rPr>
          <w:rFonts w:ascii="Times New Roman" w:hAnsi="Times New Roman" w:cs="Times New Roman"/>
          <w:sz w:val="28"/>
          <w:szCs w:val="28"/>
        </w:rPr>
        <w:t xml:space="preserve"> год Совет Норминского сельского поселения Балтасинского муниципального района Республики Татарстан </w:t>
      </w:r>
      <w:r w:rsidR="007813EE" w:rsidRPr="00B06C5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19D0" w:rsidRPr="004A19D0" w:rsidRDefault="004A19D0" w:rsidP="00B06C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19D0">
        <w:rPr>
          <w:rFonts w:ascii="Times New Roman" w:hAnsi="Times New Roman" w:cs="Times New Roman"/>
          <w:sz w:val="28"/>
          <w:szCs w:val="28"/>
        </w:rPr>
        <w:t>1</w:t>
      </w:r>
      <w:r w:rsidRPr="004A19D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4A19D0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Норминского   сельского поселения Балтасинского муниципального района Республики Татарстан за 20</w:t>
      </w:r>
      <w:r w:rsidRPr="004A19D0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4A19D0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E4325B">
        <w:rPr>
          <w:rFonts w:ascii="Times New Roman" w:hAnsi="Times New Roman" w:cs="Times New Roman"/>
          <w:sz w:val="28"/>
          <w:szCs w:val="28"/>
        </w:rPr>
        <w:t xml:space="preserve"> 8321,2</w:t>
      </w:r>
      <w:r w:rsidR="000A7C37">
        <w:rPr>
          <w:rFonts w:ascii="Times New Roman" w:hAnsi="Times New Roman" w:cs="Times New Roman"/>
          <w:sz w:val="28"/>
          <w:szCs w:val="28"/>
        </w:rPr>
        <w:t>3</w:t>
      </w:r>
      <w:r w:rsidR="00E4325B">
        <w:rPr>
          <w:rFonts w:ascii="Times New Roman" w:hAnsi="Times New Roman" w:cs="Times New Roman"/>
          <w:sz w:val="28"/>
          <w:szCs w:val="28"/>
        </w:rPr>
        <w:t xml:space="preserve"> </w:t>
      </w:r>
      <w:r w:rsidRPr="004A19D0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0A7C37">
        <w:rPr>
          <w:rFonts w:ascii="Times New Roman" w:hAnsi="Times New Roman" w:cs="Times New Roman"/>
          <w:sz w:val="28"/>
          <w:szCs w:val="28"/>
        </w:rPr>
        <w:t>8445,75</w:t>
      </w:r>
      <w:r w:rsidRPr="004A19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A19D0">
        <w:rPr>
          <w:rFonts w:ascii="Times New Roman" w:hAnsi="Times New Roman" w:cs="Times New Roman"/>
          <w:sz w:val="28"/>
          <w:szCs w:val="28"/>
        </w:rPr>
        <w:t xml:space="preserve">тыс. рублей с </w:t>
      </w:r>
      <w:r w:rsidRPr="004A19D0">
        <w:rPr>
          <w:rFonts w:ascii="Times New Roman" w:hAnsi="Times New Roman" w:cs="Times New Roman"/>
          <w:sz w:val="28"/>
          <w:szCs w:val="28"/>
          <w:lang w:val="tt-RU"/>
        </w:rPr>
        <w:t xml:space="preserve">превышением </w:t>
      </w:r>
      <w:r w:rsidRPr="004A19D0">
        <w:rPr>
          <w:rFonts w:ascii="Times New Roman" w:hAnsi="Times New Roman" w:cs="Times New Roman"/>
          <w:sz w:val="28"/>
          <w:szCs w:val="28"/>
        </w:rPr>
        <w:t xml:space="preserve">расходов  над доходами (дефицит бюджета сельского поселения Балтасинского муниципального района Республики Татарстан) в сумме </w:t>
      </w:r>
      <w:r w:rsidR="000A7C37">
        <w:rPr>
          <w:rFonts w:ascii="Times New Roman" w:hAnsi="Times New Roman" w:cs="Times New Roman"/>
          <w:sz w:val="28"/>
          <w:szCs w:val="28"/>
        </w:rPr>
        <w:t>124,52</w:t>
      </w:r>
      <w:r w:rsidRPr="004A19D0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  <w:proofErr w:type="gramEnd"/>
    </w:p>
    <w:p w:rsidR="004A19D0" w:rsidRPr="004A19D0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9D0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r w:rsidRPr="00C93F6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A7C37">
        <w:rPr>
          <w:rFonts w:ascii="Times New Roman" w:hAnsi="Times New Roman" w:cs="Times New Roman"/>
          <w:sz w:val="28"/>
          <w:szCs w:val="28"/>
        </w:rPr>
        <w:t>1</w:t>
      </w:r>
      <w:r w:rsidRPr="00C93F67">
        <w:rPr>
          <w:rFonts w:ascii="Times New Roman" w:hAnsi="Times New Roman" w:cs="Times New Roman"/>
          <w:sz w:val="28"/>
          <w:szCs w:val="28"/>
        </w:rPr>
        <w:t xml:space="preserve"> к</w:t>
      </w:r>
      <w:r w:rsidRPr="004A19D0">
        <w:rPr>
          <w:rFonts w:ascii="Times New Roman" w:hAnsi="Times New Roman" w:cs="Times New Roman"/>
          <w:sz w:val="28"/>
          <w:szCs w:val="28"/>
        </w:rPr>
        <w:t xml:space="preserve"> настоящему Решению;</w:t>
      </w:r>
    </w:p>
    <w:p w:rsidR="004A19D0" w:rsidRPr="00C93F67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9D0">
        <w:rPr>
          <w:rFonts w:ascii="Times New Roman" w:hAnsi="Times New Roman" w:cs="Times New Roman"/>
          <w:sz w:val="28"/>
          <w:szCs w:val="28"/>
        </w:rPr>
        <w:t xml:space="preserve">доходов бюджета Норминского сельского поселения Балтасинского муниципального района Республики Татарстан  по кодам классификации доходов бюджетов </w:t>
      </w:r>
      <w:r w:rsidRPr="00C93F6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A7C37">
        <w:rPr>
          <w:rFonts w:ascii="Times New Roman" w:hAnsi="Times New Roman" w:cs="Times New Roman"/>
          <w:sz w:val="28"/>
          <w:szCs w:val="28"/>
        </w:rPr>
        <w:t xml:space="preserve">2 </w:t>
      </w:r>
      <w:r w:rsidRPr="00C93F67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A19D0" w:rsidRPr="00C93F67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67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</w:t>
      </w:r>
      <w:r w:rsidR="000A7C37">
        <w:rPr>
          <w:rFonts w:ascii="Times New Roman" w:hAnsi="Times New Roman" w:cs="Times New Roman"/>
          <w:sz w:val="28"/>
          <w:szCs w:val="28"/>
        </w:rPr>
        <w:t>3</w:t>
      </w:r>
      <w:r w:rsidRPr="00C93F6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A19D0" w:rsidRPr="00C93F67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67">
        <w:rPr>
          <w:rFonts w:ascii="Times New Roman" w:hAnsi="Times New Roman" w:cs="Times New Roman"/>
          <w:sz w:val="28"/>
          <w:szCs w:val="28"/>
        </w:rPr>
        <w:t xml:space="preserve">расходов бюджета Норминского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</w:t>
      </w:r>
      <w:r w:rsidR="000A7C37">
        <w:rPr>
          <w:rFonts w:ascii="Times New Roman" w:hAnsi="Times New Roman" w:cs="Times New Roman"/>
          <w:sz w:val="28"/>
          <w:szCs w:val="28"/>
        </w:rPr>
        <w:t>4</w:t>
      </w:r>
      <w:r w:rsidR="00723F04" w:rsidRPr="00C93F67">
        <w:rPr>
          <w:rFonts w:ascii="Times New Roman" w:hAnsi="Times New Roman" w:cs="Times New Roman"/>
          <w:sz w:val="28"/>
          <w:szCs w:val="28"/>
        </w:rPr>
        <w:t xml:space="preserve"> </w:t>
      </w:r>
      <w:r w:rsidRPr="00C93F67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A19D0" w:rsidRPr="00C93F67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67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Норминского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 w:rsidRPr="00C93F67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C93F67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Pr="00C93F67">
        <w:rPr>
          <w:rFonts w:ascii="Times New Roman" w:hAnsi="Times New Roman" w:cs="Times New Roman"/>
          <w:sz w:val="28"/>
          <w:szCs w:val="28"/>
        </w:rPr>
        <w:lastRenderedPageBreak/>
        <w:t xml:space="preserve">относящихся к источникам финансирования дефицита бюджетов, согласно приложению </w:t>
      </w:r>
      <w:r w:rsidR="000A7C37">
        <w:rPr>
          <w:rFonts w:ascii="Times New Roman" w:hAnsi="Times New Roman" w:cs="Times New Roman"/>
          <w:sz w:val="28"/>
          <w:szCs w:val="28"/>
        </w:rPr>
        <w:t>5</w:t>
      </w:r>
      <w:r w:rsidRPr="00C93F6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A19D0" w:rsidRDefault="004A19D0" w:rsidP="004A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67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Норминского сельского поселения Балтасинского муниципального района Республики Татарстан по кодам </w:t>
      </w:r>
      <w:proofErr w:type="gramStart"/>
      <w:r w:rsidRPr="00C93F67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C93F6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A7C37">
        <w:rPr>
          <w:rFonts w:ascii="Times New Roman" w:hAnsi="Times New Roman" w:cs="Times New Roman"/>
          <w:sz w:val="28"/>
          <w:szCs w:val="28"/>
        </w:rPr>
        <w:t>6</w:t>
      </w:r>
      <w:r w:rsidRPr="00C93F6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43FA4" w:rsidRDefault="00043FA4" w:rsidP="005526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FA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>П</w:t>
      </w:r>
      <w:r w:rsidRPr="00043FA4">
        <w:rPr>
          <w:rStyle w:val="af6"/>
          <w:rFonts w:ascii="Times New Roman" w:hAnsi="Times New Roman" w:cs="Times New Roman"/>
          <w:b w:val="0"/>
          <w:sz w:val="28"/>
          <w:szCs w:val="28"/>
        </w:rPr>
        <w:t>о результатам внешней проверки годового отчета 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3FA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FA4">
        <w:rPr>
          <w:rFonts w:ascii="Times New Roman" w:hAnsi="Times New Roman" w:cs="Times New Roman"/>
          <w:sz w:val="28"/>
          <w:szCs w:val="28"/>
        </w:rPr>
        <w:t xml:space="preserve"> Контрольно-счетной палаты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A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«Об исполнении бюджета Норминского сельского поселения Балтасинского муниципального района Республики Татарстан» </w:t>
      </w:r>
      <w:r w:rsidRPr="00043FA4">
        <w:rPr>
          <w:rFonts w:ascii="Times New Roman" w:hAnsi="Times New Roman" w:cs="Times New Roman"/>
          <w:sz w:val="28"/>
          <w:szCs w:val="28"/>
        </w:rPr>
        <w:t>за 2016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B60A1">
        <w:rPr>
          <w:rFonts w:ascii="Times New Roman" w:hAnsi="Times New Roman" w:cs="Times New Roman"/>
          <w:sz w:val="28"/>
          <w:szCs w:val="28"/>
        </w:rPr>
        <w:t>руководител</w:t>
      </w:r>
      <w:r w:rsidR="00C32208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2B60A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Норминского сельского поселения  Рамазанова А.И. объявить предупреждение. </w:t>
      </w:r>
    </w:p>
    <w:p w:rsidR="00043FA4" w:rsidRPr="00C93F67" w:rsidRDefault="002B60A1" w:rsidP="002B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существенные недостатки в использовании бюджетных средств, в акте п</w:t>
      </w:r>
      <w:r w:rsidRPr="00043FA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FA4">
        <w:rPr>
          <w:rFonts w:ascii="Times New Roman" w:hAnsi="Times New Roman" w:cs="Times New Roman"/>
          <w:sz w:val="28"/>
          <w:szCs w:val="28"/>
        </w:rPr>
        <w:t xml:space="preserve"> Контрольно-счетной палаты Балтасинского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A4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«Об исполнении бюджета Норминского сельского поселения Балтасинского муниципального района Республики Татарстан» </w:t>
      </w:r>
      <w:r w:rsidRPr="00043FA4">
        <w:rPr>
          <w:rFonts w:ascii="Times New Roman" w:hAnsi="Times New Roman" w:cs="Times New Roman"/>
          <w:sz w:val="28"/>
          <w:szCs w:val="28"/>
        </w:rPr>
        <w:t>за 2016</w:t>
      </w:r>
      <w:r>
        <w:rPr>
          <w:rFonts w:ascii="Times New Roman" w:hAnsi="Times New Roman" w:cs="Times New Roman"/>
          <w:sz w:val="28"/>
          <w:szCs w:val="28"/>
        </w:rPr>
        <w:t xml:space="preserve"> год устранить до  1 июня 2017 года.</w:t>
      </w:r>
    </w:p>
    <w:p w:rsidR="004A19D0" w:rsidRPr="004A19D0" w:rsidRDefault="002B60A1" w:rsidP="004A19D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9D0" w:rsidRPr="00C93F67">
        <w:rPr>
          <w:rFonts w:ascii="Times New Roman" w:hAnsi="Times New Roman" w:cs="Times New Roman"/>
          <w:sz w:val="28"/>
          <w:szCs w:val="28"/>
        </w:rPr>
        <w:t>. Настоящее Решение  вступает</w:t>
      </w:r>
      <w:r w:rsidR="004A19D0" w:rsidRPr="004A19D0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4A19D0" w:rsidRDefault="004A19D0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19D0">
        <w:rPr>
          <w:rFonts w:ascii="Times New Roman" w:hAnsi="Times New Roman" w:cs="Times New Roman"/>
          <w:sz w:val="28"/>
          <w:szCs w:val="28"/>
        </w:rPr>
        <w:t xml:space="preserve">Глава    Норминского   сельского   поселения                        </w:t>
      </w:r>
      <w:proofErr w:type="spellStart"/>
      <w:r w:rsidRPr="004A19D0">
        <w:rPr>
          <w:rFonts w:ascii="Times New Roman" w:hAnsi="Times New Roman" w:cs="Times New Roman"/>
          <w:sz w:val="28"/>
          <w:szCs w:val="28"/>
        </w:rPr>
        <w:t>Т.Ф.Гатауллин</w:t>
      </w:r>
      <w:proofErr w:type="spellEnd"/>
    </w:p>
    <w:p w:rsidR="001940C3" w:rsidRDefault="001940C3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813EE" w:rsidRDefault="007813EE" w:rsidP="004A1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4E33" w:rsidRDefault="00614E33" w:rsidP="0061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A1" w:rsidRDefault="002B60A1" w:rsidP="0061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1940C3">
        <w:tc>
          <w:tcPr>
            <w:tcW w:w="4785" w:type="dxa"/>
          </w:tcPr>
          <w:p w:rsidR="0004564B" w:rsidRDefault="0004564B" w:rsidP="00431E3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1E3C" w:rsidRDefault="00431E3C" w:rsidP="00431E3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1E3C" w:rsidRDefault="00431E3C" w:rsidP="00431E3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1E3C" w:rsidRDefault="00431E3C" w:rsidP="00431E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786" w:type="dxa"/>
          </w:tcPr>
          <w:p w:rsidR="0004564B" w:rsidRDefault="0004564B" w:rsidP="001940C3">
            <w:pPr>
              <w:autoSpaceDE w:val="0"/>
              <w:autoSpaceDN w:val="0"/>
              <w:adjustRightInd w:val="0"/>
              <w:outlineLvl w:val="0"/>
            </w:pPr>
            <w:r>
              <w:t xml:space="preserve">Приложение </w:t>
            </w:r>
            <w:r w:rsidR="007813EE">
              <w:t>1</w:t>
            </w:r>
          </w:p>
          <w:p w:rsidR="0004564B" w:rsidRDefault="0004564B" w:rsidP="001940C3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04564B" w:rsidRDefault="0004564B" w:rsidP="001940C3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04564B" w:rsidRDefault="006060CC" w:rsidP="006060CC">
            <w:pPr>
              <w:autoSpaceDE w:val="0"/>
              <w:autoSpaceDN w:val="0"/>
              <w:adjustRightInd w:val="0"/>
              <w:outlineLvl w:val="0"/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</w:p>
        </w:tc>
      </w:tr>
    </w:tbl>
    <w:p w:rsidR="0004564B" w:rsidRDefault="0004564B" w:rsidP="0004564B">
      <w:pPr>
        <w:pStyle w:val="ConsPlusTitle"/>
        <w:widowControl/>
        <w:jc w:val="center"/>
      </w:pPr>
      <w:r>
        <w:t>ДОХОДЫ</w:t>
      </w:r>
    </w:p>
    <w:p w:rsidR="0004564B" w:rsidRDefault="0004564B" w:rsidP="0004564B">
      <w:pPr>
        <w:pStyle w:val="ConsPlusTitle"/>
        <w:widowControl/>
        <w:jc w:val="center"/>
      </w:pPr>
      <w:r>
        <w:t>БЮДЖЕТА  НОРМИНСКОГО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СЕКТОРАГОСУДАРСТВЕННОГО УПРАВЛЕНИЯ, ОТНОСЯЩИХСЯ К ДОХОДАМ БЮДЖЕТА, ЗА 2016 ГОД</w:t>
      </w:r>
    </w:p>
    <w:p w:rsidR="0004564B" w:rsidRDefault="0004564B" w:rsidP="0004564B">
      <w:pPr>
        <w:pStyle w:val="ConsPlusNonformat"/>
        <w:widowControl/>
      </w:pPr>
      <w:r>
        <w:t xml:space="preserve">                                                              (тыс. рублей)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5601"/>
        <w:gridCol w:w="3010"/>
        <w:gridCol w:w="1242"/>
      </w:tblGrid>
      <w:tr w:rsidR="0004564B" w:rsidTr="0004564B">
        <w:trPr>
          <w:trHeight w:val="510"/>
        </w:trPr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2700,65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76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1336,09</w:t>
            </w:r>
          </w:p>
        </w:tc>
      </w:tr>
      <w:tr w:rsidR="0004564B" w:rsidTr="0004564B">
        <w:trPr>
          <w:trHeight w:val="76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400,02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936,07</w:t>
            </w:r>
          </w:p>
        </w:tc>
      </w:tr>
      <w:tr w:rsidR="0004564B" w:rsidTr="0004564B">
        <w:trPr>
          <w:trHeight w:val="127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905,91</w:t>
            </w:r>
          </w:p>
        </w:tc>
      </w:tr>
      <w:tr w:rsidR="0004564B" w:rsidTr="0004564B">
        <w:trPr>
          <w:trHeight w:val="127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30,16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4564B" w:rsidTr="0004564B">
        <w:trPr>
          <w:trHeight w:val="127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4564B" w:rsidTr="0004564B">
        <w:trPr>
          <w:trHeight w:val="76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564B" w:rsidTr="0004564B">
        <w:trPr>
          <w:trHeight w:val="127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564B" w:rsidTr="0004564B">
        <w:trPr>
          <w:trHeight w:val="872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113 02000 00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564B" w:rsidTr="0004564B">
        <w:trPr>
          <w:trHeight w:val="678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114 00000 00 0000 430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564B" w:rsidTr="0004564B">
        <w:trPr>
          <w:trHeight w:val="678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 неналоговые  доходы (штраф)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651040020000140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4564B" w:rsidTr="0004564B">
        <w:trPr>
          <w:trHeight w:val="678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Pr="00612638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612638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117 14030 10 000 000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5620,58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5620,58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1727,5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1684,8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42,700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</w:t>
            </w:r>
          </w:p>
        </w:tc>
      </w:tr>
      <w:tr w:rsidR="0004564B" w:rsidTr="0004564B">
        <w:trPr>
          <w:trHeight w:val="51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4564B" w:rsidTr="0004564B">
        <w:trPr>
          <w:trHeight w:val="76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3703,68</w:t>
            </w:r>
          </w:p>
        </w:tc>
      </w:tr>
      <w:tr w:rsidR="0004564B" w:rsidTr="0004564B">
        <w:trPr>
          <w:trHeight w:val="1020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3703,68</w:t>
            </w:r>
          </w:p>
        </w:tc>
      </w:tr>
      <w:tr w:rsidR="0004564B" w:rsidTr="0004564B">
        <w:trPr>
          <w:trHeight w:val="255"/>
        </w:trPr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ИТОГО</w:t>
            </w: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8321,23</w:t>
            </w:r>
          </w:p>
        </w:tc>
      </w:tr>
    </w:tbl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614E33" w:rsidRDefault="00614E33" w:rsidP="0004564B">
      <w:pPr>
        <w:autoSpaceDE w:val="0"/>
        <w:autoSpaceDN w:val="0"/>
        <w:adjustRightInd w:val="0"/>
        <w:ind w:firstLine="540"/>
        <w:jc w:val="both"/>
      </w:pPr>
    </w:p>
    <w:p w:rsidR="00614E33" w:rsidRDefault="00614E33" w:rsidP="0004564B">
      <w:pPr>
        <w:autoSpaceDE w:val="0"/>
        <w:autoSpaceDN w:val="0"/>
        <w:adjustRightInd w:val="0"/>
        <w:ind w:firstLine="540"/>
        <w:jc w:val="both"/>
      </w:pPr>
    </w:p>
    <w:p w:rsidR="00614E33" w:rsidRDefault="00614E33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614E33" w:rsidRDefault="00614E33" w:rsidP="0004564B">
      <w:pPr>
        <w:autoSpaceDE w:val="0"/>
        <w:autoSpaceDN w:val="0"/>
        <w:adjustRightInd w:val="0"/>
        <w:ind w:firstLine="540"/>
        <w:jc w:val="both"/>
      </w:pPr>
    </w:p>
    <w:p w:rsidR="00614E33" w:rsidRDefault="00614E33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1940C3">
        <w:tc>
          <w:tcPr>
            <w:tcW w:w="4785" w:type="dxa"/>
          </w:tcPr>
          <w:p w:rsidR="0004564B" w:rsidRDefault="0004564B" w:rsidP="001940C3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6" w:type="dxa"/>
          </w:tcPr>
          <w:p w:rsidR="0004564B" w:rsidRDefault="0004564B" w:rsidP="001940C3">
            <w:pPr>
              <w:autoSpaceDE w:val="0"/>
              <w:autoSpaceDN w:val="0"/>
              <w:adjustRightInd w:val="0"/>
              <w:outlineLvl w:val="0"/>
            </w:pPr>
            <w:r>
              <w:t xml:space="preserve">Приложение </w:t>
            </w:r>
            <w:r w:rsidR="007813EE">
              <w:t>2</w:t>
            </w:r>
          </w:p>
          <w:p w:rsidR="0004564B" w:rsidRDefault="0004564B" w:rsidP="001940C3">
            <w:pPr>
              <w:autoSpaceDE w:val="0"/>
              <w:autoSpaceDN w:val="0"/>
              <w:adjustRightInd w:val="0"/>
            </w:pPr>
            <w:r>
              <w:t xml:space="preserve">к Решению Совета Норминского сельского поселения Балтасинского </w:t>
            </w:r>
          </w:p>
          <w:p w:rsidR="0004564B" w:rsidRDefault="0004564B" w:rsidP="001940C3">
            <w:pPr>
              <w:autoSpaceDE w:val="0"/>
              <w:autoSpaceDN w:val="0"/>
              <w:adjustRightInd w:val="0"/>
            </w:pPr>
            <w:r>
              <w:t>муниципального района Республики Татарстан</w:t>
            </w:r>
          </w:p>
          <w:p w:rsidR="0004564B" w:rsidRDefault="006060CC" w:rsidP="001940C3">
            <w:pPr>
              <w:autoSpaceDE w:val="0"/>
              <w:autoSpaceDN w:val="0"/>
              <w:adjustRightInd w:val="0"/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</w:p>
          <w:p w:rsidR="0004564B" w:rsidRDefault="0004564B" w:rsidP="001940C3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04564B" w:rsidRDefault="0004564B" w:rsidP="0004564B">
      <w:pPr>
        <w:pStyle w:val="ConsPlusTitle"/>
        <w:widowControl/>
        <w:jc w:val="center"/>
      </w:pPr>
      <w:r>
        <w:t>ДОХОДЫ</w:t>
      </w:r>
    </w:p>
    <w:p w:rsidR="0004564B" w:rsidRDefault="0004564B" w:rsidP="0004564B">
      <w:pPr>
        <w:pStyle w:val="ConsPlusTitle"/>
        <w:widowControl/>
        <w:jc w:val="center"/>
      </w:pPr>
      <w:r>
        <w:t>БЮДЖЕТА НОРМИНСКОГО СЕЛЬСКОГО ПОСЕЛЕНИЯ БАЛТАСИНСКОГО МУНИЦИПАЛЬНОГО РАЙОНА РЕСПУБЛИКИ  ПО КОДАМ</w:t>
      </w:r>
    </w:p>
    <w:p w:rsidR="0004564B" w:rsidRDefault="0004564B" w:rsidP="0004564B">
      <w:pPr>
        <w:pStyle w:val="ConsPlusTitle"/>
        <w:widowControl/>
        <w:jc w:val="center"/>
      </w:pPr>
      <w:r>
        <w:t>КЛАССИФИКАЦИИ ДОХОДОВ БЮДЖЕТОВ ЗА 2016 ГОД</w:t>
      </w:r>
    </w:p>
    <w:p w:rsidR="0004564B" w:rsidRDefault="0004564B" w:rsidP="0004564B">
      <w:pPr>
        <w:autoSpaceDE w:val="0"/>
        <w:autoSpaceDN w:val="0"/>
        <w:adjustRightInd w:val="0"/>
        <w:jc w:val="center"/>
      </w:pPr>
      <w:r>
        <w:t>(тыс. рублей)</w:t>
      </w:r>
    </w:p>
    <w:tbl>
      <w:tblPr>
        <w:tblW w:w="93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156"/>
        <w:gridCol w:w="2333"/>
        <w:gridCol w:w="1242"/>
      </w:tblGrid>
      <w:tr w:rsidR="0004564B" w:rsidTr="0004564B">
        <w:trPr>
          <w:trHeight w:val="510"/>
        </w:trPr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B918A9" w:rsidP="000456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749,6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4564B" w:rsidTr="0004564B">
        <w:trPr>
          <w:trHeight w:val="7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04564B" w:rsidTr="0004564B">
        <w:trPr>
          <w:trHeight w:val="906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Pr="00612638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Средства самообложения граждан,</w:t>
            </w:r>
            <w:r w:rsidR="00431E3C">
              <w:rPr>
                <w:sz w:val="20"/>
                <w:szCs w:val="20"/>
              </w:rPr>
              <w:t xml:space="preserve"> </w:t>
            </w:r>
            <w:r w:rsidRPr="00612638">
              <w:rPr>
                <w:sz w:val="20"/>
                <w:szCs w:val="20"/>
              </w:rPr>
              <w:t>зачисляемые в бюджеты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4564B" w:rsidRPr="00612638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612638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2638">
              <w:rPr>
                <w:sz w:val="20"/>
                <w:szCs w:val="20"/>
              </w:rPr>
              <w:t>117 14030 10 0000 110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729,2</w:t>
            </w:r>
          </w:p>
        </w:tc>
      </w:tr>
      <w:tr w:rsidR="00B918A9" w:rsidTr="0004564B">
        <w:trPr>
          <w:trHeight w:val="906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A9" w:rsidRPr="00612638" w:rsidRDefault="00B918A9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санкции, возмещение ущерба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A9" w:rsidRDefault="00B918A9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18A9" w:rsidRDefault="00B918A9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A9" w:rsidRPr="00612638" w:rsidRDefault="00B918A9" w:rsidP="00B918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8A9" w:rsidRDefault="00B918A9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5620,58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1727,5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1684,8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</w:t>
            </w:r>
          </w:p>
        </w:tc>
      </w:tr>
      <w:tr w:rsidR="0004564B" w:rsidTr="0004564B">
        <w:trPr>
          <w:trHeight w:val="51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4564B" w:rsidTr="0004564B">
        <w:trPr>
          <w:trHeight w:val="7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3703,68</w:t>
            </w:r>
          </w:p>
        </w:tc>
      </w:tr>
      <w:tr w:rsidR="0004564B" w:rsidTr="007E4F9A">
        <w:trPr>
          <w:trHeight w:val="102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3703,68</w:t>
            </w:r>
          </w:p>
        </w:tc>
      </w:tr>
      <w:tr w:rsidR="0004564B" w:rsidTr="007E4F9A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Палата имущественных и земельных отношений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7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</w:t>
            </w:r>
            <w:proofErr w:type="spellStart"/>
            <w:r>
              <w:rPr>
                <w:sz w:val="20"/>
                <w:szCs w:val="20"/>
              </w:rPr>
              <w:t>предприят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111 05000 00 0000 120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4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113 02000 10 0000 130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529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отходов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114 00000 00 0000  430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564B" w:rsidTr="0004564B">
        <w:trPr>
          <w:trHeight w:val="1020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B918A9" w:rsidP="000456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1951,05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7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101 02010 01 1000 110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101 02020 01 1000110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607,1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1336,09</w:t>
            </w:r>
          </w:p>
        </w:tc>
      </w:tr>
      <w:tr w:rsidR="0004564B" w:rsidTr="0004564B">
        <w:trPr>
          <w:trHeight w:val="76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400,02</w:t>
            </w:r>
          </w:p>
        </w:tc>
      </w:tr>
      <w:tr w:rsidR="0004564B" w:rsidTr="0004564B">
        <w:trPr>
          <w:trHeight w:val="25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936,07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905,91</w:t>
            </w:r>
          </w:p>
        </w:tc>
      </w:tr>
      <w:tr w:rsidR="0004564B" w:rsidTr="0004564B">
        <w:trPr>
          <w:trHeight w:val="1275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30,16</w:t>
            </w:r>
          </w:p>
        </w:tc>
      </w:tr>
      <w:tr w:rsidR="0004564B" w:rsidTr="0004564B">
        <w:trPr>
          <w:trHeight w:val="897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64B" w:rsidRDefault="0004564B" w:rsidP="00045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Default="0004564B" w:rsidP="00045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8321,23</w:t>
            </w:r>
          </w:p>
        </w:tc>
      </w:tr>
    </w:tbl>
    <w:p w:rsidR="0004564B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614E33" w:rsidRDefault="00614E33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614E33" w:rsidRDefault="00614E33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04564B">
        <w:tc>
          <w:tcPr>
            <w:tcW w:w="4785" w:type="dxa"/>
          </w:tcPr>
          <w:p w:rsidR="0004564B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04564B" w:rsidRPr="00996987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7813EE">
              <w:rPr>
                <w:rFonts w:eastAsia="Calibri"/>
              </w:rPr>
              <w:t>3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 решению Совета </w:t>
            </w:r>
            <w:r>
              <w:rPr>
                <w:rFonts w:eastAsia="Calibri"/>
              </w:rPr>
              <w:t>Норминск</w:t>
            </w:r>
            <w:r w:rsidRPr="00996987">
              <w:rPr>
                <w:rFonts w:eastAsia="Calibri"/>
              </w:rPr>
              <w:t>ого сельского поселения Балтасинского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04564B" w:rsidRDefault="006060CC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>
        <w:rPr>
          <w:rFonts w:ascii="Arial" w:eastAsia="Calibri" w:hAnsi="Arial" w:cs="Arial"/>
          <w:b/>
          <w:bCs/>
          <w:sz w:val="20"/>
          <w:szCs w:val="20"/>
        </w:rPr>
        <w:t>ЕННОЙ СТРУКТУРЕ РАСХОДОВ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04564B" w:rsidRPr="00996987" w:rsidRDefault="0004564B" w:rsidP="0004564B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8700" w:type="dxa"/>
        <w:tblInd w:w="108" w:type="dxa"/>
        <w:tblLook w:val="00A0" w:firstRow="1" w:lastRow="0" w:firstColumn="1" w:lastColumn="0" w:noHBand="0" w:noVBand="0"/>
      </w:tblPr>
      <w:tblGrid>
        <w:gridCol w:w="3832"/>
        <w:gridCol w:w="660"/>
        <w:gridCol w:w="419"/>
        <w:gridCol w:w="475"/>
        <w:gridCol w:w="1332"/>
        <w:gridCol w:w="740"/>
        <w:gridCol w:w="1242"/>
      </w:tblGrid>
      <w:tr w:rsidR="0004564B" w:rsidRPr="00996987" w:rsidTr="001940C3">
        <w:trPr>
          <w:trHeight w:val="5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04564B" w:rsidRPr="00996987" w:rsidTr="001940C3">
        <w:trPr>
          <w:trHeight w:val="34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2010,42</w:t>
            </w:r>
          </w:p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613,84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613,84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99002002030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613,84</w:t>
            </w:r>
          </w:p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1030,12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1030,12</w:t>
            </w:r>
          </w:p>
        </w:tc>
      </w:tr>
      <w:tr w:rsidR="0004564B" w:rsidRPr="00996987" w:rsidTr="001940C3">
        <w:trPr>
          <w:trHeight w:val="55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1030,12</w:t>
            </w:r>
          </w:p>
        </w:tc>
      </w:tr>
      <w:tr w:rsidR="0004564B" w:rsidRPr="00996987" w:rsidTr="001940C3">
        <w:trPr>
          <w:trHeight w:val="13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13,5</w:t>
            </w:r>
          </w:p>
        </w:tc>
      </w:tr>
      <w:tr w:rsidR="0004564B" w:rsidRPr="00996987" w:rsidTr="001940C3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13,5</w:t>
            </w:r>
          </w:p>
        </w:tc>
      </w:tr>
      <w:tr w:rsidR="0004564B" w:rsidRPr="00996987" w:rsidTr="001940C3">
        <w:trPr>
          <w:trHeight w:val="18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0412CB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36,77</w:t>
            </w:r>
          </w:p>
        </w:tc>
      </w:tr>
      <w:tr w:rsidR="0004564B" w:rsidRPr="00996987" w:rsidTr="001940C3">
        <w:trPr>
          <w:trHeight w:val="18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9900002150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36,77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316,19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E15AC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E15AC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316,19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E15AC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E15AC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98,13</w:t>
            </w:r>
          </w:p>
        </w:tc>
      </w:tr>
      <w:tr w:rsidR="0004564B" w:rsidRPr="00996987" w:rsidTr="001940C3">
        <w:trPr>
          <w:trHeight w:val="34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E15AC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98,13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E15AC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189,4</w:t>
            </w:r>
          </w:p>
        </w:tc>
      </w:tr>
      <w:tr w:rsidR="0004564B" w:rsidRPr="00996987" w:rsidTr="001940C3">
        <w:trPr>
          <w:trHeight w:val="49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</w:p>
          <w:p w:rsidR="0004564B" w:rsidRPr="009907EA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1,9</w:t>
            </w:r>
          </w:p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4564B" w:rsidRPr="00996987" w:rsidTr="001940C3">
        <w:trPr>
          <w:trHeight w:val="40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99000092030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04564B" w:rsidRPr="001B4CD8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20,88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1B4CD8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187,5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1B4CD8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187,5</w:t>
            </w:r>
          </w:p>
        </w:tc>
      </w:tr>
      <w:tr w:rsidR="0004564B" w:rsidRPr="00996987" w:rsidTr="001940C3">
        <w:trPr>
          <w:trHeight w:val="76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1B4CD8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1B4CD8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187,5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99000051180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1B4CD8" w:rsidRDefault="0004564B" w:rsidP="0004564B">
            <w:pPr>
              <w:spacing w:after="0" w:line="240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187,5</w:t>
            </w:r>
          </w:p>
        </w:tc>
      </w:tr>
      <w:tr w:rsidR="0004564B" w:rsidRPr="00996987" w:rsidTr="001940C3">
        <w:trPr>
          <w:trHeight w:val="29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4315,99</w:t>
            </w:r>
          </w:p>
        </w:tc>
      </w:tr>
      <w:tr w:rsidR="0004564B" w:rsidRPr="00996987" w:rsidTr="001940C3">
        <w:trPr>
          <w:trHeight w:val="17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lastRenderedPageBreak/>
              <w:t>Другие вопросы в области национальной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99000904302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04564B" w:rsidRPr="00996987" w:rsidTr="001940C3">
        <w:trPr>
          <w:trHeight w:val="541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4291,19</w:t>
            </w:r>
          </w:p>
        </w:tc>
      </w:tr>
      <w:tr w:rsidR="0004564B" w:rsidRPr="00996987" w:rsidTr="001940C3">
        <w:trPr>
          <w:trHeight w:val="34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4291,19</w:t>
            </w:r>
          </w:p>
        </w:tc>
      </w:tr>
      <w:tr w:rsidR="0004564B" w:rsidRPr="00996987" w:rsidTr="001940C3">
        <w:trPr>
          <w:trHeight w:val="3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1600173440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24,8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936,84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936,84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Бюджетные инвестиции в объекты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111,37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Ж100075050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111,37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825,47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461,52</w:t>
            </w:r>
          </w:p>
        </w:tc>
      </w:tr>
      <w:tr w:rsidR="0004564B" w:rsidRPr="00996987" w:rsidTr="001940C3">
        <w:trPr>
          <w:trHeight w:val="43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eastAsia="Calibri"/>
                <w:sz w:val="20"/>
                <w:szCs w:val="20"/>
              </w:rPr>
              <w:t>работы</w:t>
            </w:r>
            <w:proofErr w:type="gramStart"/>
            <w:r>
              <w:rPr>
                <w:rFonts w:eastAsia="Calibri"/>
                <w:sz w:val="20"/>
                <w:szCs w:val="20"/>
              </w:rPr>
              <w:t>,у</w:t>
            </w:r>
            <w:proofErr w:type="gramEnd"/>
            <w:r>
              <w:rPr>
                <w:rFonts w:eastAsia="Calibri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04564B" w:rsidRPr="00996987" w:rsidTr="001940C3">
        <w:trPr>
          <w:trHeight w:val="4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780</w:t>
            </w:r>
            <w:r w:rsidRPr="0099698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363,95</w:t>
            </w:r>
          </w:p>
        </w:tc>
      </w:tr>
      <w:tr w:rsidR="0004564B" w:rsidRPr="00996987" w:rsidTr="001940C3">
        <w:trPr>
          <w:trHeight w:val="510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Б100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780</w:t>
            </w:r>
            <w:r w:rsidRPr="00996987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04564B" w:rsidRPr="00996987" w:rsidTr="001940C3">
        <w:trPr>
          <w:trHeight w:val="61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04564B" w:rsidRPr="00996987" w:rsidTr="001940C3">
        <w:trPr>
          <w:trHeight w:val="1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995,00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995,00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9900025151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995,00</w:t>
            </w:r>
          </w:p>
        </w:tc>
      </w:tr>
      <w:tr w:rsidR="0004564B" w:rsidRPr="00996987" w:rsidTr="001940C3">
        <w:trPr>
          <w:trHeight w:val="25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8445,75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614E33" w:rsidRDefault="00614E33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614E33" w:rsidRPr="00996987" w:rsidRDefault="00614E33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04564B">
        <w:tc>
          <w:tcPr>
            <w:tcW w:w="4785" w:type="dxa"/>
          </w:tcPr>
          <w:p w:rsidR="0004564B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04564B" w:rsidRPr="00996987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7813EE">
              <w:rPr>
                <w:rFonts w:eastAsia="Calibri"/>
              </w:rPr>
              <w:t>4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решению Совета </w:t>
            </w:r>
            <w:r>
              <w:rPr>
                <w:rFonts w:eastAsia="Calibri"/>
              </w:rPr>
              <w:t>Норминского</w:t>
            </w:r>
            <w:r w:rsidRPr="00996987">
              <w:rPr>
                <w:rFonts w:eastAsia="Calibri"/>
              </w:rPr>
              <w:t xml:space="preserve"> сельского поселения Балтасинского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04564B" w:rsidRDefault="006060CC" w:rsidP="006060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БЮДЖЕТА 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  СЕЛЬСКОГО ПОСЕЛЕНИЯ БАЛТАСИНСКОГО МУНИЦИПАЛЬНОГО РАЙОНА РЕСПУБЛИКИ ТАТАРСТАН</w:t>
      </w:r>
    </w:p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04564B" w:rsidRPr="00996987" w:rsidRDefault="0004564B" w:rsidP="0004564B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04564B" w:rsidRPr="00996987" w:rsidRDefault="0004564B" w:rsidP="0004564B">
      <w:pPr>
        <w:rPr>
          <w:rFonts w:eastAsia="Calibri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850"/>
        <w:gridCol w:w="1134"/>
        <w:gridCol w:w="1560"/>
      </w:tblGrid>
      <w:tr w:rsidR="0004564B" w:rsidRPr="00996987" w:rsidTr="0004564B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96987">
              <w:rPr>
                <w:rFonts w:eastAsia="Calibri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996987">
              <w:rPr>
                <w:rFonts w:eastAsia="Calibri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2010,42</w:t>
            </w:r>
          </w:p>
        </w:tc>
      </w:tr>
      <w:tr w:rsidR="0004564B" w:rsidRPr="00996987" w:rsidTr="0004564B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613,84</w:t>
            </w:r>
          </w:p>
        </w:tc>
      </w:tr>
      <w:tr w:rsidR="0004564B" w:rsidRPr="00996987" w:rsidTr="0004564B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1030,12</w:t>
            </w:r>
          </w:p>
        </w:tc>
      </w:tr>
      <w:tr w:rsidR="0004564B" w:rsidRPr="00996987" w:rsidTr="0004564B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04564B" w:rsidRPr="00996987" w:rsidTr="0004564B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36,77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316,19</w:t>
            </w:r>
          </w:p>
        </w:tc>
      </w:tr>
      <w:tr w:rsidR="0004564B" w:rsidRPr="00996987" w:rsidTr="0004564B">
        <w:trPr>
          <w:trHeight w:val="4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187,5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187,5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4315,99</w:t>
            </w:r>
          </w:p>
        </w:tc>
      </w:tr>
      <w:tr w:rsidR="0004564B" w:rsidRPr="00996987" w:rsidTr="0004564B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64B" w:rsidRPr="00996987" w:rsidTr="0004564B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4291,19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24,80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936,84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111,37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825,47</w:t>
            </w:r>
          </w:p>
        </w:tc>
      </w:tr>
      <w:tr w:rsidR="0004564B" w:rsidRPr="00996987" w:rsidTr="0004564B">
        <w:trPr>
          <w:trHeight w:val="4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751571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0</w:t>
            </w:r>
          </w:p>
        </w:tc>
      </w:tr>
      <w:tr w:rsidR="0004564B" w:rsidRPr="00996987" w:rsidTr="0004564B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0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995,00</w:t>
            </w:r>
          </w:p>
        </w:tc>
      </w:tr>
      <w:tr w:rsidR="0004564B" w:rsidRPr="00996987" w:rsidTr="0004564B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995,00</w:t>
            </w:r>
          </w:p>
        </w:tc>
      </w:tr>
      <w:tr w:rsidR="0004564B" w:rsidRPr="00996987" w:rsidTr="0004564B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перечисления бюджетам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995,00</w:t>
            </w:r>
          </w:p>
        </w:tc>
      </w:tr>
      <w:tr w:rsidR="0004564B" w:rsidRPr="00996987" w:rsidTr="0004564B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8445,75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4E33" w:rsidRPr="00996987" w:rsidRDefault="00614E33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060CC" w:rsidRPr="00996987" w:rsidRDefault="006060CC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04564B">
        <w:tc>
          <w:tcPr>
            <w:tcW w:w="4785" w:type="dxa"/>
          </w:tcPr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04564B" w:rsidRPr="00996987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Приложение </w:t>
            </w:r>
            <w:r w:rsidR="007813EE">
              <w:rPr>
                <w:rFonts w:eastAsia="Calibri"/>
              </w:rPr>
              <w:t>5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решению Совета </w:t>
            </w:r>
            <w:r>
              <w:rPr>
                <w:rFonts w:eastAsia="Calibri"/>
              </w:rPr>
              <w:t>Норминско</w:t>
            </w:r>
            <w:r w:rsidRPr="00996987">
              <w:rPr>
                <w:rFonts w:eastAsia="Calibri"/>
              </w:rPr>
              <w:t>го сельского поселения Балтасинского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04564B" w:rsidRDefault="006060CC" w:rsidP="006060C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04564B" w:rsidRPr="00996987" w:rsidRDefault="0004564B" w:rsidP="0004564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ФИНАНСИРОВАНИЯ ДЕФИЦИТА БЮДЖЕТА </w:t>
      </w:r>
      <w:r>
        <w:rPr>
          <w:rFonts w:ascii="Arial" w:eastAsia="Calibri" w:hAnsi="Arial" w:cs="Arial"/>
          <w:b/>
          <w:bCs/>
          <w:sz w:val="20"/>
          <w:szCs w:val="20"/>
        </w:rPr>
        <w:t>НОРМИН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СКОГО   СЕЛЬСКОГО ПОСЕЛЕНИЯ БАЛТАСИНСКОГО МУНИЦИПАЛЬНОГО РАЙОНА РЕСПУБЛИКИ ПО КОДАМ ГРУПП, ПОДГРУПП, СТАТЕЙ, ВИДОВ </w:t>
      </w:r>
      <w:proofErr w:type="gramStart"/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УПРАВЛЕНИЯ, ОТНОСЯЩИХСЯ К ИСТОЧНИКАМ ФИНАНСИРО</w:t>
      </w:r>
      <w:r>
        <w:rPr>
          <w:rFonts w:ascii="Arial" w:eastAsia="Calibri" w:hAnsi="Arial" w:cs="Arial"/>
          <w:b/>
          <w:bCs/>
          <w:sz w:val="20"/>
          <w:szCs w:val="20"/>
        </w:rPr>
        <w:t>ВАНИЯ ДЕФИЦИТА БЮДЖЕТОВ,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04564B" w:rsidRPr="00996987" w:rsidRDefault="0004564B" w:rsidP="0004564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647" w:type="dxa"/>
        <w:tblInd w:w="108" w:type="dxa"/>
        <w:tblLook w:val="00A0" w:firstRow="1" w:lastRow="0" w:firstColumn="1" w:lastColumn="0" w:noHBand="0" w:noVBand="0"/>
      </w:tblPr>
      <w:tblGrid>
        <w:gridCol w:w="5103"/>
        <w:gridCol w:w="2268"/>
        <w:gridCol w:w="1276"/>
      </w:tblGrid>
      <w:tr w:rsidR="0004564B" w:rsidRPr="00996987" w:rsidTr="0004564B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04564B" w:rsidRPr="00996987" w:rsidTr="0004564B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 </w:t>
            </w:r>
            <w:proofErr w:type="spellStart"/>
            <w:r>
              <w:rPr>
                <w:rFonts w:eastAsia="Calibri"/>
                <w:sz w:val="20"/>
                <w:szCs w:val="20"/>
              </w:rPr>
              <w:t>дифицит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бюджета</w:t>
            </w:r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124,52</w:t>
            </w:r>
          </w:p>
        </w:tc>
      </w:tr>
      <w:tr w:rsidR="0004564B" w:rsidRPr="00996987" w:rsidTr="0004564B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-8321,23</w:t>
            </w:r>
          </w:p>
        </w:tc>
      </w:tr>
      <w:tr w:rsidR="0004564B" w:rsidRPr="00996987" w:rsidTr="0004564B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-8321,23</w:t>
            </w:r>
          </w:p>
        </w:tc>
      </w:tr>
      <w:tr w:rsidR="0004564B" w:rsidRPr="00996987" w:rsidTr="0004564B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-8321,23</w:t>
            </w:r>
          </w:p>
        </w:tc>
      </w:tr>
      <w:tr w:rsidR="0004564B" w:rsidRPr="00996987" w:rsidTr="0004564B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8445,75</w:t>
            </w:r>
          </w:p>
        </w:tc>
      </w:tr>
      <w:tr w:rsidR="0004564B" w:rsidRPr="00996987" w:rsidTr="0004564B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8445,75</w:t>
            </w:r>
          </w:p>
        </w:tc>
      </w:tr>
      <w:tr w:rsidR="0004564B" w:rsidRPr="00996987" w:rsidTr="0004564B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8445,75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4E33" w:rsidRDefault="00614E33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4E33" w:rsidRPr="00996987" w:rsidRDefault="00614E33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04564B" w:rsidRPr="00996987" w:rsidRDefault="0004564B" w:rsidP="0004564B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64B" w:rsidTr="0004564B">
        <w:tc>
          <w:tcPr>
            <w:tcW w:w="4785" w:type="dxa"/>
          </w:tcPr>
          <w:p w:rsidR="0004564B" w:rsidRDefault="0004564B" w:rsidP="0004564B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</w:tcPr>
          <w:p w:rsidR="0004564B" w:rsidRPr="00996987" w:rsidRDefault="0004564B" w:rsidP="0004564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</w:t>
            </w:r>
            <w:r w:rsidR="007813EE">
              <w:rPr>
                <w:rFonts w:eastAsia="Calibri"/>
              </w:rPr>
              <w:t>6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 xml:space="preserve">к  решению Совета </w:t>
            </w:r>
            <w:r>
              <w:rPr>
                <w:rFonts w:eastAsia="Calibri"/>
              </w:rPr>
              <w:t>Норминского</w:t>
            </w:r>
            <w:r w:rsidRPr="00996987">
              <w:rPr>
                <w:rFonts w:eastAsia="Calibri"/>
              </w:rPr>
              <w:t xml:space="preserve"> сельского поселения Балтасинского</w:t>
            </w:r>
          </w:p>
          <w:p w:rsidR="0004564B" w:rsidRPr="00996987" w:rsidRDefault="0004564B" w:rsidP="0004564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96987">
              <w:rPr>
                <w:rFonts w:eastAsia="Calibri"/>
              </w:rPr>
              <w:t>муниципального района Республики Татарстан</w:t>
            </w:r>
          </w:p>
          <w:p w:rsidR="0004564B" w:rsidRDefault="006060CC" w:rsidP="006060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«</w:t>
            </w:r>
            <w:r w:rsidRPr="006060CC">
              <w:t>Об утверждении отчета об исполнении бюджета Норминского сельского поселения Балтасинского муниципального района Республики Татарстан за 2016 год</w:t>
            </w:r>
            <w:r>
              <w:t>»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04564B" w:rsidRPr="00996987" w:rsidRDefault="0004564B" w:rsidP="000456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</w:t>
      </w:r>
      <w:r>
        <w:rPr>
          <w:rFonts w:ascii="Arial" w:eastAsia="Calibri" w:hAnsi="Arial" w:cs="Arial"/>
          <w:b/>
          <w:bCs/>
          <w:sz w:val="20"/>
          <w:szCs w:val="20"/>
        </w:rPr>
        <w:t>ИНАНСИРОВАНИЯ ДЕФИЦИТА БЮДЖЕТА НОРМИ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04564B" w:rsidRPr="00996987" w:rsidRDefault="0004564B" w:rsidP="000456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2016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04564B" w:rsidRPr="00996987" w:rsidRDefault="0004564B" w:rsidP="0004564B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716"/>
      </w:tblGrid>
      <w:tr w:rsidR="0004564B" w:rsidRPr="00996987" w:rsidTr="001940C3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04564B" w:rsidRPr="00996987" w:rsidTr="001940C3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124,52</w:t>
            </w: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</w:t>
            </w:r>
            <w:r>
              <w:rPr>
                <w:rFonts w:eastAsia="Calibri"/>
                <w:sz w:val="20"/>
                <w:szCs w:val="20"/>
              </w:rPr>
              <w:t xml:space="preserve">чники финансирования  дефицит </w:t>
            </w:r>
            <w:r w:rsidRPr="00996987">
              <w:rPr>
                <w:rFonts w:eastAsia="Calibri"/>
                <w:sz w:val="20"/>
                <w:szCs w:val="20"/>
              </w:rPr>
              <w:t>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124,52</w:t>
            </w:r>
          </w:p>
        </w:tc>
      </w:tr>
      <w:tr w:rsidR="0004564B" w:rsidRPr="00996987" w:rsidTr="001940C3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-8321,23</w:t>
            </w: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-8321,23</w:t>
            </w: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-8321,23</w:t>
            </w:r>
          </w:p>
        </w:tc>
      </w:tr>
      <w:tr w:rsidR="0004564B" w:rsidRPr="00996987" w:rsidTr="001940C3">
        <w:trPr>
          <w:trHeight w:val="651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8445,75</w:t>
            </w: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8445,75</w:t>
            </w:r>
          </w:p>
        </w:tc>
      </w:tr>
      <w:tr w:rsidR="0004564B" w:rsidRPr="00996987" w:rsidTr="001940C3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4B" w:rsidRPr="00996987" w:rsidRDefault="0004564B" w:rsidP="00045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4B" w:rsidRPr="00996987" w:rsidRDefault="0004564B" w:rsidP="0004564B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564B" w:rsidRPr="00996987" w:rsidRDefault="0004564B" w:rsidP="0004564B">
            <w:pPr>
              <w:spacing w:after="0" w:line="240" w:lineRule="auto"/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8445,75</w:t>
            </w:r>
          </w:p>
        </w:tc>
      </w:tr>
    </w:tbl>
    <w:p w:rsidR="0004564B" w:rsidRPr="00996987" w:rsidRDefault="0004564B" w:rsidP="0004564B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04564B" w:rsidRDefault="0004564B" w:rsidP="0004564B">
      <w:pPr>
        <w:rPr>
          <w:rFonts w:eastAsia="Calibri"/>
        </w:rPr>
      </w:pPr>
    </w:p>
    <w:p w:rsidR="0004564B" w:rsidRDefault="0004564B" w:rsidP="0004564B">
      <w:pPr>
        <w:rPr>
          <w:rFonts w:eastAsia="Calibri"/>
        </w:rPr>
      </w:pPr>
    </w:p>
    <w:p w:rsidR="0004564B" w:rsidRDefault="0004564B" w:rsidP="0004564B">
      <w:pPr>
        <w:rPr>
          <w:rFonts w:eastAsia="Calibri"/>
        </w:rPr>
      </w:pPr>
    </w:p>
    <w:p w:rsidR="0004564B" w:rsidRDefault="0004564B" w:rsidP="0004564B">
      <w:pPr>
        <w:rPr>
          <w:rFonts w:eastAsia="Calibri"/>
        </w:rPr>
      </w:pPr>
    </w:p>
    <w:p w:rsidR="0004564B" w:rsidRDefault="0004564B" w:rsidP="0004564B">
      <w:pPr>
        <w:rPr>
          <w:rFonts w:eastAsia="Calibri"/>
        </w:rPr>
      </w:pPr>
    </w:p>
    <w:p w:rsidR="0004564B" w:rsidRDefault="0004564B" w:rsidP="0004564B">
      <w:pPr>
        <w:rPr>
          <w:rFonts w:eastAsia="Calibri"/>
        </w:rPr>
      </w:pPr>
    </w:p>
    <w:p w:rsidR="0004564B" w:rsidRPr="00996987" w:rsidRDefault="0004564B" w:rsidP="0004564B">
      <w:pPr>
        <w:rPr>
          <w:rFonts w:eastAsia="Calibri"/>
        </w:rPr>
      </w:pPr>
    </w:p>
    <w:p w:rsidR="0004564B" w:rsidRPr="00996987" w:rsidRDefault="0004564B" w:rsidP="0004564B">
      <w:pPr>
        <w:rPr>
          <w:rFonts w:eastAsia="Calibri"/>
        </w:rPr>
      </w:pPr>
    </w:p>
    <w:p w:rsidR="0004564B" w:rsidRDefault="0004564B" w:rsidP="0004564B">
      <w:pPr>
        <w:autoSpaceDE w:val="0"/>
        <w:autoSpaceDN w:val="0"/>
        <w:adjustRightInd w:val="0"/>
        <w:ind w:firstLine="540"/>
        <w:jc w:val="both"/>
      </w:pPr>
    </w:p>
    <w:p w:rsidR="0004564B" w:rsidRDefault="0004564B" w:rsidP="0004564B">
      <w:pPr>
        <w:autoSpaceDE w:val="0"/>
        <w:autoSpaceDN w:val="0"/>
        <w:adjustRightInd w:val="0"/>
        <w:jc w:val="both"/>
      </w:pPr>
    </w:p>
    <w:sectPr w:rsidR="0004564B" w:rsidSect="00614E33">
      <w:pgSz w:w="11906" w:h="16838"/>
      <w:pgMar w:top="-302" w:right="850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8" w:rsidRDefault="00D87A58" w:rsidP="00383440">
      <w:pPr>
        <w:spacing w:after="0" w:line="240" w:lineRule="auto"/>
      </w:pPr>
      <w:r>
        <w:separator/>
      </w:r>
    </w:p>
  </w:endnote>
  <w:endnote w:type="continuationSeparator" w:id="0">
    <w:p w:rsidR="00D87A58" w:rsidRDefault="00D87A58" w:rsidP="003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8" w:rsidRDefault="00D87A58" w:rsidP="00383440">
      <w:pPr>
        <w:spacing w:after="0" w:line="240" w:lineRule="auto"/>
      </w:pPr>
      <w:r>
        <w:separator/>
      </w:r>
    </w:p>
  </w:footnote>
  <w:footnote w:type="continuationSeparator" w:id="0">
    <w:p w:rsidR="00D87A58" w:rsidRDefault="00D87A58" w:rsidP="0038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0640B"/>
    <w:rsid w:val="00040A2E"/>
    <w:rsid w:val="00043FA4"/>
    <w:rsid w:val="0004564B"/>
    <w:rsid w:val="000526A9"/>
    <w:rsid w:val="00052D5E"/>
    <w:rsid w:val="000A7C37"/>
    <w:rsid w:val="00155880"/>
    <w:rsid w:val="0016266B"/>
    <w:rsid w:val="00185904"/>
    <w:rsid w:val="001940C3"/>
    <w:rsid w:val="00196326"/>
    <w:rsid w:val="00287ECD"/>
    <w:rsid w:val="00292F04"/>
    <w:rsid w:val="002A4581"/>
    <w:rsid w:val="002A7AF8"/>
    <w:rsid w:val="002B130A"/>
    <w:rsid w:val="002B60A1"/>
    <w:rsid w:val="003025A3"/>
    <w:rsid w:val="00362AD4"/>
    <w:rsid w:val="00383440"/>
    <w:rsid w:val="003A6A9D"/>
    <w:rsid w:val="003A7477"/>
    <w:rsid w:val="003A762E"/>
    <w:rsid w:val="00431E3C"/>
    <w:rsid w:val="004A19D0"/>
    <w:rsid w:val="004E61C1"/>
    <w:rsid w:val="005014E9"/>
    <w:rsid w:val="005526FD"/>
    <w:rsid w:val="00557EBE"/>
    <w:rsid w:val="00581788"/>
    <w:rsid w:val="005E0C67"/>
    <w:rsid w:val="006060CC"/>
    <w:rsid w:val="00607546"/>
    <w:rsid w:val="0061186D"/>
    <w:rsid w:val="00612AFD"/>
    <w:rsid w:val="006140BC"/>
    <w:rsid w:val="00614E33"/>
    <w:rsid w:val="00624C7D"/>
    <w:rsid w:val="006845E2"/>
    <w:rsid w:val="006B1E83"/>
    <w:rsid w:val="006B22D9"/>
    <w:rsid w:val="00713E61"/>
    <w:rsid w:val="00713ED6"/>
    <w:rsid w:val="00723F04"/>
    <w:rsid w:val="007606CE"/>
    <w:rsid w:val="00766205"/>
    <w:rsid w:val="007813EE"/>
    <w:rsid w:val="00787481"/>
    <w:rsid w:val="007B5F01"/>
    <w:rsid w:val="007E4F9A"/>
    <w:rsid w:val="008107D2"/>
    <w:rsid w:val="0083013E"/>
    <w:rsid w:val="00873066"/>
    <w:rsid w:val="00886909"/>
    <w:rsid w:val="00895AA0"/>
    <w:rsid w:val="008C14E2"/>
    <w:rsid w:val="008F1767"/>
    <w:rsid w:val="00900206"/>
    <w:rsid w:val="009162FF"/>
    <w:rsid w:val="009B373A"/>
    <w:rsid w:val="009C7A0A"/>
    <w:rsid w:val="009E1F46"/>
    <w:rsid w:val="009F64BE"/>
    <w:rsid w:val="00A011CB"/>
    <w:rsid w:val="00A179DB"/>
    <w:rsid w:val="00A236EC"/>
    <w:rsid w:val="00A255F9"/>
    <w:rsid w:val="00A80CF9"/>
    <w:rsid w:val="00A94664"/>
    <w:rsid w:val="00B06C58"/>
    <w:rsid w:val="00B52FDB"/>
    <w:rsid w:val="00B6610B"/>
    <w:rsid w:val="00B918A9"/>
    <w:rsid w:val="00B932B0"/>
    <w:rsid w:val="00BA22D7"/>
    <w:rsid w:val="00BA27EE"/>
    <w:rsid w:val="00BC3DB2"/>
    <w:rsid w:val="00BD4EDD"/>
    <w:rsid w:val="00BE434E"/>
    <w:rsid w:val="00BF779F"/>
    <w:rsid w:val="00C03FCB"/>
    <w:rsid w:val="00C06C92"/>
    <w:rsid w:val="00C249C9"/>
    <w:rsid w:val="00C32208"/>
    <w:rsid w:val="00C41F29"/>
    <w:rsid w:val="00C4595B"/>
    <w:rsid w:val="00C93F67"/>
    <w:rsid w:val="00CE119F"/>
    <w:rsid w:val="00CE5C68"/>
    <w:rsid w:val="00CF6E0E"/>
    <w:rsid w:val="00D87A58"/>
    <w:rsid w:val="00DA184F"/>
    <w:rsid w:val="00DE5D54"/>
    <w:rsid w:val="00DF01B0"/>
    <w:rsid w:val="00DF563E"/>
    <w:rsid w:val="00DF74E6"/>
    <w:rsid w:val="00E03775"/>
    <w:rsid w:val="00E16FE2"/>
    <w:rsid w:val="00E42366"/>
    <w:rsid w:val="00E4325B"/>
    <w:rsid w:val="00E56892"/>
    <w:rsid w:val="00E839E4"/>
    <w:rsid w:val="00E97003"/>
    <w:rsid w:val="00E97275"/>
    <w:rsid w:val="00EB54F1"/>
    <w:rsid w:val="00F366B9"/>
    <w:rsid w:val="00F41052"/>
    <w:rsid w:val="00F45ECD"/>
    <w:rsid w:val="00F66EE4"/>
    <w:rsid w:val="00F817D2"/>
    <w:rsid w:val="00FA6340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  <w:style w:type="character" w:styleId="af6">
    <w:name w:val="Strong"/>
    <w:qFormat/>
    <w:rsid w:val="00043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6"/>
  </w:style>
  <w:style w:type="paragraph" w:styleId="1">
    <w:name w:val="heading 1"/>
    <w:basedOn w:val="a"/>
    <w:next w:val="a"/>
    <w:link w:val="10"/>
    <w:qFormat/>
    <w:rsid w:val="003025A3"/>
    <w:pPr>
      <w:keepNext/>
      <w:spacing w:after="0" w:line="240" w:lineRule="auto"/>
      <w:ind w:firstLine="5954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rmal (Web)"/>
    <w:basedOn w:val="a"/>
    <w:rsid w:val="003025A3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0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9">
    <w:name w:val="xl19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0">
    <w:name w:val="xl200"/>
    <w:basedOn w:val="a"/>
    <w:rsid w:val="00C06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1">
    <w:name w:val="xl201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2">
    <w:name w:val="xl202"/>
    <w:basedOn w:val="a"/>
    <w:rsid w:val="00C06C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3">
    <w:name w:val="xl203"/>
    <w:basedOn w:val="a"/>
    <w:rsid w:val="00C06C92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5">
    <w:name w:val="xl205"/>
    <w:basedOn w:val="a"/>
    <w:rsid w:val="00C06C9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6">
    <w:name w:val="xl206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7">
    <w:name w:val="xl207"/>
    <w:basedOn w:val="a"/>
    <w:rsid w:val="00C06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C06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C06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0">
    <w:name w:val="xl210"/>
    <w:basedOn w:val="a"/>
    <w:rsid w:val="00C06C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1">
    <w:name w:val="xl211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2">
    <w:name w:val="xl212"/>
    <w:basedOn w:val="a"/>
    <w:rsid w:val="00C06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3">
    <w:name w:val="xl213"/>
    <w:basedOn w:val="a"/>
    <w:rsid w:val="00C06C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4">
    <w:name w:val="xl214"/>
    <w:basedOn w:val="a"/>
    <w:rsid w:val="00C0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06C9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6">
    <w:name w:val="xl216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7">
    <w:name w:val="xl217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8">
    <w:name w:val="xl218"/>
    <w:basedOn w:val="a"/>
    <w:rsid w:val="00C0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19">
    <w:name w:val="xl219"/>
    <w:basedOn w:val="a"/>
    <w:rsid w:val="00C06C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45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456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45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04564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04564B"/>
    <w:pPr>
      <w:ind w:left="720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rsid w:val="0004564B"/>
    <w:rPr>
      <w:color w:val="008000"/>
    </w:rPr>
  </w:style>
  <w:style w:type="character" w:styleId="af6">
    <w:name w:val="Strong"/>
    <w:qFormat/>
    <w:rsid w:val="00043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rm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vt:lpstr>
    </vt:vector>
  </TitlesOfParts>
  <Company/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НОРМИНСКОГО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2016 ГОД</dc:title>
  <dc:subject/>
  <dc:creator>Альбина</dc:creator>
  <cp:keywords/>
  <dc:description/>
  <cp:lastModifiedBy>Альбина</cp:lastModifiedBy>
  <cp:revision>70</cp:revision>
  <cp:lastPrinted>2017-04-28T07:15:00Z</cp:lastPrinted>
  <dcterms:created xsi:type="dcterms:W3CDTF">2016-11-14T10:16:00Z</dcterms:created>
  <dcterms:modified xsi:type="dcterms:W3CDTF">2017-05-03T10:08:00Z</dcterms:modified>
</cp:coreProperties>
</file>