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1143"/>
        <w:gridCol w:w="9"/>
        <w:gridCol w:w="4255"/>
      </w:tblGrid>
      <w:tr w:rsidR="00CC18DC" w:rsidTr="00CC18DC">
        <w:trPr>
          <w:trHeight w:val="976"/>
          <w:jc w:val="center"/>
        </w:trPr>
        <w:tc>
          <w:tcPr>
            <w:tcW w:w="4283" w:type="dxa"/>
            <w:hideMark/>
          </w:tcPr>
          <w:p w:rsidR="00CC18DC" w:rsidRDefault="00CC18DC" w:rsidP="00BD2C6F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CC18DC" w:rsidRDefault="00CC18DC" w:rsidP="00BD2C6F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CC18DC" w:rsidRDefault="00CC18DC" w:rsidP="00BD2C6F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CC18DC" w:rsidRDefault="00CC18DC" w:rsidP="00BD2C6F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43" w:type="dxa"/>
            <w:vMerge w:val="restart"/>
            <w:hideMark/>
          </w:tcPr>
          <w:p w:rsidR="00CC18DC" w:rsidRDefault="00CC18DC" w:rsidP="00BD2C6F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0B47ADF8" wp14:editId="57E9B79E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gridSpan w:val="2"/>
            <w:hideMark/>
          </w:tcPr>
          <w:p w:rsidR="00CC18DC" w:rsidRDefault="00CC18DC" w:rsidP="00BD2C6F">
            <w:pPr>
              <w:ind w:right="57"/>
              <w:jc w:val="center"/>
              <w:rPr>
                <w:sz w:val="28"/>
                <w:szCs w:val="28"/>
              </w:rPr>
            </w:pPr>
            <w:r w:rsidRPr="00713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CC18DC" w:rsidRDefault="00CC18DC" w:rsidP="00BD2C6F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CC18DC" w:rsidRDefault="00CC18DC" w:rsidP="00BD2C6F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өңшеңәр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CC18DC" w:rsidRDefault="00CC18DC" w:rsidP="00BD2C6F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CC18DC" w:rsidRDefault="00CC18DC" w:rsidP="00BD2C6F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C18DC" w:rsidTr="00CC18DC">
        <w:trPr>
          <w:trHeight w:val="64"/>
          <w:jc w:val="center"/>
        </w:trPr>
        <w:tc>
          <w:tcPr>
            <w:tcW w:w="4283" w:type="dxa"/>
            <w:hideMark/>
          </w:tcPr>
          <w:p w:rsidR="00CC18DC" w:rsidRDefault="00CC18DC" w:rsidP="00BD2C6F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43" w:type="dxa"/>
            <w:vMerge/>
            <w:vAlign w:val="center"/>
            <w:hideMark/>
          </w:tcPr>
          <w:p w:rsidR="00CC18DC" w:rsidRPr="007137D2" w:rsidRDefault="00CC18DC" w:rsidP="00BD2C6F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64" w:type="dxa"/>
            <w:gridSpan w:val="2"/>
            <w:hideMark/>
          </w:tcPr>
          <w:p w:rsidR="00CC18DC" w:rsidRDefault="00CC18DC" w:rsidP="00BD2C6F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CC18DC" w:rsidTr="00CC18DC">
        <w:trPr>
          <w:trHeight w:val="609"/>
          <w:jc w:val="center"/>
        </w:trPr>
        <w:tc>
          <w:tcPr>
            <w:tcW w:w="9690" w:type="dxa"/>
            <w:gridSpan w:val="4"/>
          </w:tcPr>
          <w:p w:rsidR="00CC18DC" w:rsidRDefault="00CC18DC" w:rsidP="00BD2C6F">
            <w:pPr>
              <w:ind w:right="57"/>
              <w:jc w:val="center"/>
              <w:rPr>
                <w:sz w:val="16"/>
                <w:szCs w:val="16"/>
              </w:rPr>
            </w:pPr>
          </w:p>
          <w:p w:rsidR="00CC18DC" w:rsidRDefault="00CC18DC" w:rsidP="00BD2C6F">
            <w:pPr>
              <w:ind w:right="57"/>
              <w:jc w:val="center"/>
              <w:rPr>
                <w:sz w:val="16"/>
                <w:szCs w:val="16"/>
              </w:rPr>
            </w:pPr>
          </w:p>
          <w:p w:rsidR="00CC18DC" w:rsidRDefault="00CC18DC" w:rsidP="00BD2C6F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8B7EA" wp14:editId="35D43D2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6" w:history="1">
              <w:r>
                <w:rPr>
                  <w:rStyle w:val="a5"/>
                  <w:lang w:val="en-US"/>
                </w:rPr>
                <w:t>Shnr</w:t>
              </w:r>
              <w:r>
                <w:rPr>
                  <w:rStyle w:val="a5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C18DC" w:rsidTr="00CC18DC">
        <w:trPr>
          <w:trHeight w:val="677"/>
          <w:jc w:val="center"/>
        </w:trPr>
        <w:tc>
          <w:tcPr>
            <w:tcW w:w="4283" w:type="dxa"/>
          </w:tcPr>
          <w:p w:rsidR="00CC18DC" w:rsidRDefault="00CC18DC" w:rsidP="00BD2C6F">
            <w:pPr>
              <w:jc w:val="center"/>
              <w:rPr>
                <w:lang w:val="en-US"/>
              </w:rPr>
            </w:pPr>
          </w:p>
          <w:p w:rsidR="00CC18DC" w:rsidRDefault="00CC18DC" w:rsidP="00BD2C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CC18DC" w:rsidRDefault="00CC18DC" w:rsidP="00BD2C6F">
            <w:pPr>
              <w:ind w:right="5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 xml:space="preserve"> 24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tt-RU"/>
              </w:rPr>
              <w:t xml:space="preserve"> декабря  2016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52" w:type="dxa"/>
            <w:gridSpan w:val="2"/>
          </w:tcPr>
          <w:p w:rsidR="00CC18DC" w:rsidRDefault="00CC18DC" w:rsidP="00BD2C6F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55" w:type="dxa"/>
          </w:tcPr>
          <w:p w:rsidR="00CC18DC" w:rsidRDefault="00CC18DC" w:rsidP="00BD2C6F">
            <w:pPr>
              <w:ind w:right="57"/>
              <w:jc w:val="center"/>
            </w:pPr>
          </w:p>
          <w:p w:rsidR="00CC18DC" w:rsidRDefault="00CC18DC" w:rsidP="00BD2C6F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CC18DC" w:rsidRDefault="00CC18DC" w:rsidP="00BD2C6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   </w:t>
            </w:r>
            <w:r>
              <w:rPr>
                <w:sz w:val="28"/>
                <w:szCs w:val="28"/>
              </w:rPr>
              <w:t>№ 40</w:t>
            </w:r>
          </w:p>
          <w:p w:rsidR="00CC18DC" w:rsidRDefault="00CC18DC" w:rsidP="00BD2C6F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</w:t>
            </w:r>
          </w:p>
          <w:p w:rsidR="00CC18DC" w:rsidRDefault="00CC18DC" w:rsidP="00BD2C6F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CC18DC" w:rsidRDefault="00CC18DC" w:rsidP="00CC1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CC18DC" w:rsidRDefault="00CC18DC" w:rsidP="00CC1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Устав муниципального образования «</w:t>
      </w:r>
      <w:proofErr w:type="spellStart"/>
      <w:r>
        <w:rPr>
          <w:b/>
          <w:sz w:val="28"/>
          <w:szCs w:val="28"/>
        </w:rPr>
        <w:t>Шишинерское</w:t>
      </w:r>
      <w:proofErr w:type="spellEnd"/>
      <w:r>
        <w:rPr>
          <w:b/>
          <w:sz w:val="28"/>
          <w:szCs w:val="28"/>
        </w:rPr>
        <w:t xml:space="preserve">  сельское поселение» Балтасинского  муниципального района РТ  </w:t>
      </w:r>
    </w:p>
    <w:p w:rsidR="00CC18DC" w:rsidRDefault="00CC18DC" w:rsidP="00CC18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18DC" w:rsidRDefault="00CC18DC" w:rsidP="00CC18DC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 с  Федеральным Законом от 06.10.2003 года № 131-ФЗ «Об общих принципах организации местного самоуправления в Российской Федерации» Законом Республики Татарстан  от 29.11.2014г. №110-ЗРТ «О внесении изменений в Закон РТ «О местном самоуправлении в РТ», а также изучив заключение  прокуратуры Балтасинского муниципального района, по результатам публи</w:t>
      </w:r>
      <w:r w:rsidR="00DE34E7">
        <w:rPr>
          <w:sz w:val="28"/>
          <w:szCs w:val="28"/>
        </w:rPr>
        <w:t>чных слушаний от 02 декабря 2016</w:t>
      </w:r>
      <w:bookmarkStart w:id="0" w:name="_GoBack"/>
      <w:bookmarkEnd w:id="0"/>
      <w:r>
        <w:rPr>
          <w:sz w:val="28"/>
          <w:szCs w:val="28"/>
        </w:rPr>
        <w:t xml:space="preserve"> г.,  по итогам заключения Управления Министерства юстиции РФ</w:t>
      </w:r>
      <w:proofErr w:type="gramEnd"/>
      <w:r>
        <w:rPr>
          <w:sz w:val="28"/>
          <w:szCs w:val="28"/>
        </w:rPr>
        <w:t xml:space="preserve"> по РТ, руководствуясь ст. 79,80,81  Устава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 сельское поселение» Балтасинского муниципального района Республики Татарстан, Совет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  сельского поселения Балтасинского муниципального района Республики Татарстан </w:t>
      </w:r>
      <w:r>
        <w:rPr>
          <w:b/>
          <w:sz w:val="28"/>
          <w:szCs w:val="28"/>
        </w:rPr>
        <w:t>решил:</w:t>
      </w:r>
    </w:p>
    <w:p w:rsidR="00CC18DC" w:rsidRDefault="00CC18DC" w:rsidP="00CC1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 сельское поселение» Балтасинского   муниципального района Республики Татарстан  изменения и дополнения согласно приложению 1.</w:t>
      </w:r>
    </w:p>
    <w:p w:rsidR="00CC18DC" w:rsidRDefault="00CC18DC" w:rsidP="00CC18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установленном законодательством порядке.</w:t>
      </w:r>
    </w:p>
    <w:p w:rsidR="00CC18DC" w:rsidRDefault="00CC18DC" w:rsidP="00CC18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после государственной регистрации обнародовать на официальном  сайте Балтасинского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специальных информационных стендах.</w:t>
      </w:r>
    </w:p>
    <w:p w:rsidR="00CC18DC" w:rsidRDefault="00CC18DC" w:rsidP="00CC18DC">
      <w:pPr>
        <w:pStyle w:val="a3"/>
        <w:ind w:firstLine="540"/>
        <w:jc w:val="both"/>
        <w:rPr>
          <w:szCs w:val="28"/>
        </w:rPr>
      </w:pPr>
      <w:r>
        <w:rPr>
          <w:szCs w:val="28"/>
        </w:rPr>
        <w:t>4. Настоящее решение вступает в силу после его официального обнародования.</w:t>
      </w:r>
    </w:p>
    <w:p w:rsidR="00CC18DC" w:rsidRDefault="00CC18DC" w:rsidP="00CC18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C18DC" w:rsidRDefault="00CC18DC" w:rsidP="00CC18DC">
      <w:pPr>
        <w:ind w:firstLine="540"/>
        <w:jc w:val="both"/>
        <w:rPr>
          <w:b/>
          <w:sz w:val="28"/>
          <w:szCs w:val="28"/>
        </w:rPr>
      </w:pPr>
    </w:p>
    <w:p w:rsidR="00CC18DC" w:rsidRDefault="00CC18DC" w:rsidP="00CC18DC">
      <w:pPr>
        <w:jc w:val="both"/>
        <w:rPr>
          <w:b/>
          <w:sz w:val="28"/>
          <w:szCs w:val="28"/>
        </w:rPr>
      </w:pPr>
    </w:p>
    <w:p w:rsidR="00CC18DC" w:rsidRDefault="00CC18DC" w:rsidP="00CC1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</w:t>
      </w:r>
    </w:p>
    <w:p w:rsidR="00CC18DC" w:rsidRDefault="00CC18DC" w:rsidP="00CC18D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C18DC" w:rsidRDefault="00CC18DC" w:rsidP="00CC18DC">
      <w:pPr>
        <w:jc w:val="both"/>
        <w:rPr>
          <w:b/>
          <w:bCs/>
        </w:rPr>
      </w:pPr>
      <w:r>
        <w:rPr>
          <w:sz w:val="28"/>
          <w:szCs w:val="28"/>
        </w:rPr>
        <w:t xml:space="preserve">Балтасинского муниципального района                                      </w:t>
      </w:r>
      <w:proofErr w:type="spellStart"/>
      <w:r>
        <w:rPr>
          <w:sz w:val="28"/>
          <w:szCs w:val="28"/>
        </w:rPr>
        <w:t>Р.Н.Галиев</w:t>
      </w:r>
      <w:proofErr w:type="spellEnd"/>
    </w:p>
    <w:p w:rsidR="00923BC5" w:rsidRDefault="00CC18DC" w:rsidP="00CC18DC">
      <w:pPr>
        <w:jc w:val="right"/>
      </w:pPr>
      <w:r>
        <w:lastRenderedPageBreak/>
        <w:t>Приложение №1 к решению</w:t>
      </w:r>
    </w:p>
    <w:p w:rsidR="00CC18DC" w:rsidRDefault="007D4E12" w:rsidP="00CC18DC">
      <w:pPr>
        <w:jc w:val="right"/>
      </w:pPr>
      <w:r>
        <w:t>от 24.12.2016 г. № 40</w:t>
      </w:r>
    </w:p>
    <w:p w:rsidR="007D4E12" w:rsidRDefault="007D4E12" w:rsidP="007D4E12">
      <w:pPr>
        <w:jc w:val="center"/>
        <w:rPr>
          <w:b/>
          <w:sz w:val="28"/>
          <w:szCs w:val="28"/>
        </w:rPr>
      </w:pPr>
    </w:p>
    <w:p w:rsidR="007D4E12" w:rsidRDefault="007D4E12" w:rsidP="007D4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Устав муниципального образования «</w:t>
      </w:r>
      <w:proofErr w:type="spellStart"/>
      <w:r>
        <w:rPr>
          <w:b/>
          <w:sz w:val="28"/>
          <w:szCs w:val="28"/>
        </w:rPr>
        <w:t>Шишинерское</w:t>
      </w:r>
      <w:proofErr w:type="spellEnd"/>
      <w:r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</w:p>
    <w:p w:rsidR="007D4E12" w:rsidRDefault="007D4E12" w:rsidP="007D4E12">
      <w:pPr>
        <w:jc w:val="center"/>
        <w:rPr>
          <w:b/>
          <w:sz w:val="28"/>
          <w:szCs w:val="28"/>
        </w:rPr>
      </w:pPr>
    </w:p>
    <w:p w:rsidR="007D4E12" w:rsidRDefault="007D4E12" w:rsidP="007D4E12">
      <w:pPr>
        <w:ind w:firstLine="708"/>
        <w:jc w:val="both"/>
        <w:rPr>
          <w:sz w:val="28"/>
          <w:szCs w:val="28"/>
        </w:rPr>
      </w:pPr>
      <w:bookmarkStart w:id="1" w:name="sub_41"/>
      <w:r>
        <w:rPr>
          <w:sz w:val="28"/>
          <w:szCs w:val="28"/>
        </w:rPr>
        <w:t>1.</w:t>
      </w:r>
      <w:r>
        <w:rPr>
          <w:b/>
          <w:sz w:val="28"/>
          <w:szCs w:val="28"/>
        </w:rPr>
        <w:t>Статью 6 Устава дополнить подпунктом 15 следующего содержания</w:t>
      </w:r>
      <w:r>
        <w:rPr>
          <w:sz w:val="28"/>
          <w:szCs w:val="28"/>
        </w:rPr>
        <w:t>:</w:t>
      </w:r>
    </w:p>
    <w:p w:rsidR="007D4E12" w:rsidRDefault="007D4E12" w:rsidP="007D4E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7" w:history="1">
        <w:r w:rsidRPr="008F5E0B">
          <w:rPr>
            <w:rStyle w:val="a5"/>
            <w:bCs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«Об основах системы профилактики правонарушений в Российской Федерации»;</w:t>
      </w:r>
    </w:p>
    <w:p w:rsidR="007D4E12" w:rsidRDefault="007D4E12" w:rsidP="007D4E12">
      <w:pPr>
        <w:ind w:left="708"/>
        <w:jc w:val="both"/>
        <w:rPr>
          <w:b/>
          <w:sz w:val="28"/>
          <w:szCs w:val="28"/>
        </w:rPr>
      </w:pPr>
      <w:r w:rsidRPr="008F5E0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Пункт 2 статьи 42 Устава признать утратившим силу.</w:t>
      </w:r>
    </w:p>
    <w:p w:rsidR="007D4E12" w:rsidRDefault="007D4E12" w:rsidP="007D4E12">
      <w:pPr>
        <w:ind w:firstLine="708"/>
        <w:jc w:val="both"/>
        <w:rPr>
          <w:sz w:val="28"/>
          <w:szCs w:val="28"/>
        </w:rPr>
      </w:pPr>
    </w:p>
    <w:p w:rsidR="007D4E12" w:rsidRDefault="007D4E12" w:rsidP="007D4E12">
      <w:pPr>
        <w:ind w:firstLine="708"/>
        <w:jc w:val="both"/>
        <w:rPr>
          <w:sz w:val="28"/>
          <w:szCs w:val="28"/>
        </w:rPr>
      </w:pPr>
      <w:r w:rsidRPr="008F5E0B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Часть 4 статьи 42 Устава  изложить в следующей редакции:</w:t>
      </w:r>
      <w:r>
        <w:rPr>
          <w:sz w:val="28"/>
          <w:szCs w:val="28"/>
        </w:rPr>
        <w:t xml:space="preserve"> </w:t>
      </w:r>
    </w:p>
    <w:p w:rsidR="007D4E12" w:rsidRDefault="007D4E12" w:rsidP="007D4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«Глава поселения  представляет Совету поселения ежегодные отчеты о результатах своей деятельности, а в случае, если глава поселения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поселения»;</w:t>
      </w:r>
    </w:p>
    <w:p w:rsidR="007D4E12" w:rsidRDefault="007D4E12" w:rsidP="007D4E1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32B90">
        <w:rPr>
          <w:b/>
          <w:sz w:val="28"/>
          <w:szCs w:val="28"/>
        </w:rPr>
        <w:t>Статью 43 Устава дополнить пункт</w:t>
      </w:r>
      <w:r>
        <w:rPr>
          <w:b/>
          <w:sz w:val="28"/>
          <w:szCs w:val="28"/>
        </w:rPr>
        <w:t>ами</w:t>
      </w:r>
      <w:r w:rsidRPr="00F32B90">
        <w:rPr>
          <w:b/>
          <w:sz w:val="28"/>
          <w:szCs w:val="28"/>
        </w:rPr>
        <w:t xml:space="preserve"> 10.1</w:t>
      </w:r>
      <w:r>
        <w:rPr>
          <w:b/>
          <w:sz w:val="28"/>
          <w:szCs w:val="28"/>
        </w:rPr>
        <w:t>, 10.2 и 10.3</w:t>
      </w:r>
      <w:r w:rsidRPr="00F32B90">
        <w:rPr>
          <w:b/>
          <w:sz w:val="28"/>
          <w:szCs w:val="28"/>
        </w:rPr>
        <w:t xml:space="preserve"> следующего содержания:</w:t>
      </w:r>
    </w:p>
    <w:p w:rsidR="007D4E12" w:rsidRPr="00710DC2" w:rsidRDefault="007D4E12" w:rsidP="007D4E12">
      <w:pPr>
        <w:ind w:firstLine="709"/>
        <w:jc w:val="both"/>
        <w:rPr>
          <w:sz w:val="28"/>
          <w:szCs w:val="28"/>
        </w:rPr>
      </w:pPr>
      <w:proofErr w:type="gramStart"/>
      <w:r w:rsidRPr="00710DC2">
        <w:rPr>
          <w:sz w:val="28"/>
          <w:szCs w:val="28"/>
        </w:rPr>
        <w:t xml:space="preserve">«10.1) в сфере </w:t>
      </w:r>
      <w:proofErr w:type="spellStart"/>
      <w:r w:rsidRPr="00710DC2">
        <w:rPr>
          <w:sz w:val="28"/>
          <w:szCs w:val="28"/>
        </w:rPr>
        <w:t>муниципально</w:t>
      </w:r>
      <w:proofErr w:type="spellEnd"/>
      <w:r w:rsidRPr="00710DC2">
        <w:rPr>
          <w:sz w:val="28"/>
          <w:szCs w:val="28"/>
        </w:rPr>
        <w:t xml:space="preserve">-частного партнерства принимает решения о реализации проекта </w:t>
      </w:r>
      <w:proofErr w:type="spellStart"/>
      <w:r w:rsidRPr="00710DC2">
        <w:rPr>
          <w:sz w:val="28"/>
          <w:szCs w:val="28"/>
        </w:rPr>
        <w:t>муниципально</w:t>
      </w:r>
      <w:proofErr w:type="spellEnd"/>
      <w:r w:rsidRPr="00710DC2">
        <w:rPr>
          <w:sz w:val="28"/>
          <w:szCs w:val="28"/>
        </w:rPr>
        <w:t>-частного партнерства, если публичным партнером является муниципальное образование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710DC2">
        <w:rPr>
          <w:sz w:val="28"/>
          <w:szCs w:val="28"/>
        </w:rPr>
        <w:t xml:space="preserve">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</w:t>
      </w:r>
      <w:r>
        <w:rPr>
          <w:sz w:val="28"/>
          <w:szCs w:val="28"/>
        </w:rPr>
        <w:t xml:space="preserve"> Республики Татарстан</w:t>
      </w:r>
      <w:r w:rsidRPr="00710DC2">
        <w:rPr>
          <w:sz w:val="28"/>
          <w:szCs w:val="28"/>
        </w:rPr>
        <w:t>), а также осуществление иных полномочий, предусмотренных</w:t>
      </w:r>
      <w:r>
        <w:rPr>
          <w:sz w:val="28"/>
          <w:szCs w:val="28"/>
        </w:rPr>
        <w:t xml:space="preserve"> </w:t>
      </w:r>
      <w:r w:rsidRPr="00F32B90">
        <w:rPr>
          <w:sz w:val="28"/>
          <w:szCs w:val="28"/>
        </w:rPr>
        <w:t xml:space="preserve">Федеральным законом от 13.07.2015 </w:t>
      </w:r>
      <w:r>
        <w:rPr>
          <w:sz w:val="28"/>
          <w:szCs w:val="28"/>
        </w:rPr>
        <w:t>№</w:t>
      </w:r>
      <w:r w:rsidRPr="00F32B90">
        <w:rPr>
          <w:sz w:val="28"/>
          <w:szCs w:val="28"/>
        </w:rPr>
        <w:t xml:space="preserve">224-ФЗ "О государственно-частном партнерстве, </w:t>
      </w:r>
      <w:proofErr w:type="spellStart"/>
      <w:r w:rsidRPr="00F32B90">
        <w:rPr>
          <w:sz w:val="28"/>
          <w:szCs w:val="28"/>
        </w:rPr>
        <w:t>муниципально</w:t>
      </w:r>
      <w:proofErr w:type="spellEnd"/>
      <w:r w:rsidRPr="00F32B90">
        <w:rPr>
          <w:sz w:val="28"/>
          <w:szCs w:val="28"/>
        </w:rPr>
        <w:t>-частном</w:t>
      </w:r>
      <w:proofErr w:type="gramEnd"/>
      <w:r w:rsidRPr="00F32B90">
        <w:rPr>
          <w:sz w:val="28"/>
          <w:szCs w:val="28"/>
        </w:rPr>
        <w:t xml:space="preserve"> </w:t>
      </w:r>
      <w:proofErr w:type="gramStart"/>
      <w:r w:rsidRPr="00F32B90">
        <w:rPr>
          <w:sz w:val="28"/>
          <w:szCs w:val="28"/>
        </w:rPr>
        <w:t>партнерстве в Российской Федерации и внесении изменений в отдельные законодательные акты Российской Фе</w:t>
      </w:r>
      <w:r>
        <w:rPr>
          <w:sz w:val="28"/>
          <w:szCs w:val="28"/>
        </w:rPr>
        <w:t>дерации</w:t>
      </w:r>
      <w:r w:rsidRPr="00710DC2">
        <w:rPr>
          <w:sz w:val="28"/>
          <w:szCs w:val="28"/>
        </w:rPr>
        <w:t xml:space="preserve">, другими федеральными законами и нормативными правовыми актами Российской Федерации, нормативными правовыми актами субъектов Российской Федерации, </w:t>
      </w:r>
      <w:r>
        <w:rPr>
          <w:sz w:val="28"/>
          <w:szCs w:val="28"/>
        </w:rPr>
        <w:t xml:space="preserve">Уставом поселения </w:t>
      </w:r>
      <w:r w:rsidRPr="00710DC2">
        <w:rPr>
          <w:sz w:val="28"/>
          <w:szCs w:val="28"/>
        </w:rPr>
        <w:t>и муниципальными правовыми актами</w:t>
      </w:r>
      <w:r>
        <w:rPr>
          <w:sz w:val="28"/>
          <w:szCs w:val="28"/>
        </w:rPr>
        <w:t>.</w:t>
      </w:r>
      <w:proofErr w:type="gramEnd"/>
    </w:p>
    <w:p w:rsidR="007D4E12" w:rsidRDefault="007D4E12" w:rsidP="007D4E12">
      <w:pPr>
        <w:ind w:firstLine="709"/>
        <w:jc w:val="both"/>
        <w:rPr>
          <w:sz w:val="28"/>
          <w:szCs w:val="28"/>
        </w:rPr>
      </w:pPr>
      <w:r w:rsidRPr="00F32B90">
        <w:rPr>
          <w:sz w:val="28"/>
          <w:szCs w:val="28"/>
        </w:rPr>
        <w:t>10.</w:t>
      </w:r>
      <w:r>
        <w:rPr>
          <w:sz w:val="28"/>
          <w:szCs w:val="28"/>
        </w:rPr>
        <w:t>2</w:t>
      </w:r>
      <w:r w:rsidRPr="00F32B90">
        <w:rPr>
          <w:sz w:val="28"/>
          <w:szCs w:val="28"/>
        </w:rPr>
        <w:t xml:space="preserve">) определяет органы местного самоуправления на осуществление полномочий в соответствии с Федеральным законом от 13.07.2015 N 224-ФЗ "О государственно-частном партнерстве, </w:t>
      </w:r>
      <w:proofErr w:type="spellStart"/>
      <w:r w:rsidRPr="00F32B90">
        <w:rPr>
          <w:sz w:val="28"/>
          <w:szCs w:val="28"/>
        </w:rPr>
        <w:t>муниципально</w:t>
      </w:r>
      <w:proofErr w:type="spellEnd"/>
      <w:r w:rsidRPr="00F32B90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</w:t>
      </w:r>
      <w:r>
        <w:rPr>
          <w:sz w:val="28"/>
          <w:szCs w:val="28"/>
        </w:rPr>
        <w:t>дерации».</w:t>
      </w:r>
    </w:p>
    <w:p w:rsidR="007D4E12" w:rsidRPr="00A13B83" w:rsidRDefault="007D4E12" w:rsidP="007D4E12">
      <w:pPr>
        <w:ind w:firstLine="708"/>
        <w:jc w:val="both"/>
        <w:rPr>
          <w:sz w:val="28"/>
          <w:szCs w:val="28"/>
        </w:rPr>
      </w:pPr>
      <w:proofErr w:type="gramStart"/>
      <w:r w:rsidRPr="00A13B83">
        <w:rPr>
          <w:sz w:val="28"/>
          <w:szCs w:val="28"/>
        </w:rPr>
        <w:t>10.3) направляет в орган исполнительной власти Республики Татарстан, определенный высшим исполнительным органом государственной власти</w:t>
      </w:r>
      <w:r>
        <w:rPr>
          <w:sz w:val="28"/>
          <w:szCs w:val="28"/>
        </w:rPr>
        <w:t xml:space="preserve"> </w:t>
      </w:r>
      <w:r w:rsidRPr="00A13B83">
        <w:rPr>
          <w:sz w:val="28"/>
          <w:szCs w:val="28"/>
        </w:rPr>
        <w:t xml:space="preserve">Республики Татарстан, проект </w:t>
      </w:r>
      <w:proofErr w:type="spellStart"/>
      <w:r w:rsidRPr="00A13B83">
        <w:rPr>
          <w:sz w:val="28"/>
          <w:szCs w:val="28"/>
        </w:rPr>
        <w:t>муниципально</w:t>
      </w:r>
      <w:proofErr w:type="spellEnd"/>
      <w:r w:rsidRPr="00A13B83">
        <w:rPr>
          <w:sz w:val="28"/>
          <w:szCs w:val="28"/>
        </w:rPr>
        <w:t xml:space="preserve">-частного партнерства для </w:t>
      </w:r>
      <w:r w:rsidRPr="00A13B83">
        <w:rPr>
          <w:sz w:val="28"/>
          <w:szCs w:val="28"/>
        </w:rPr>
        <w:lastRenderedPageBreak/>
        <w:t>проведения оценки эффективности проекта и определения его сравнительного преимущества в соответствии Федеральным законом от 13.07.2015</w:t>
      </w:r>
      <w:r>
        <w:rPr>
          <w:sz w:val="28"/>
          <w:szCs w:val="28"/>
        </w:rPr>
        <w:t xml:space="preserve"> года №</w:t>
      </w:r>
      <w:r w:rsidRPr="00A13B83">
        <w:rPr>
          <w:sz w:val="28"/>
          <w:szCs w:val="28"/>
        </w:rPr>
        <w:t xml:space="preserve">224-ФЗ "О государственно-частном партнерстве, </w:t>
      </w:r>
      <w:proofErr w:type="spellStart"/>
      <w:r w:rsidRPr="00A13B83">
        <w:rPr>
          <w:sz w:val="28"/>
          <w:szCs w:val="28"/>
        </w:rPr>
        <w:t>муниципально</w:t>
      </w:r>
      <w:proofErr w:type="spellEnd"/>
      <w:r w:rsidRPr="00A13B83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  <w:proofErr w:type="gramEnd"/>
    </w:p>
    <w:p w:rsidR="007D4E12" w:rsidRDefault="007D4E12" w:rsidP="007D4E12">
      <w:pPr>
        <w:ind w:left="708"/>
        <w:jc w:val="both"/>
        <w:rPr>
          <w:b/>
          <w:sz w:val="28"/>
          <w:szCs w:val="28"/>
        </w:rPr>
      </w:pPr>
    </w:p>
    <w:p w:rsidR="007D4E12" w:rsidRDefault="007D4E12" w:rsidP="007D4E12">
      <w:pPr>
        <w:ind w:firstLine="708"/>
        <w:jc w:val="both"/>
        <w:rPr>
          <w:sz w:val="28"/>
          <w:szCs w:val="28"/>
        </w:rPr>
      </w:pPr>
    </w:p>
    <w:p w:rsidR="007D4E12" w:rsidRDefault="007D4E12" w:rsidP="007D4E12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5.Подпункт 12 пункта 1 статьи 44 Устава признать утратившим силу.</w:t>
      </w:r>
      <w:r>
        <w:rPr>
          <w:sz w:val="28"/>
          <w:szCs w:val="28"/>
        </w:rPr>
        <w:t xml:space="preserve">  </w:t>
      </w:r>
    </w:p>
    <w:p w:rsidR="007D4E12" w:rsidRDefault="007D4E12" w:rsidP="007D4E12">
      <w:pPr>
        <w:ind w:firstLine="708"/>
        <w:jc w:val="both"/>
        <w:rPr>
          <w:sz w:val="28"/>
          <w:szCs w:val="28"/>
        </w:rPr>
      </w:pPr>
    </w:p>
    <w:p w:rsidR="007D4E12" w:rsidRDefault="007D4E12" w:rsidP="007D4E1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F5E0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Абзац 3 пункта 4 статьи 47 Устава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изложить в следующей редакции: </w:t>
      </w:r>
    </w:p>
    <w:p w:rsidR="007D4E12" w:rsidRDefault="007D4E12" w:rsidP="007D4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7D4E12" w:rsidRDefault="007D4E12" w:rsidP="007D4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7. Абзац 2 пункта 5 статьи 47 Устава</w:t>
      </w:r>
      <w:r>
        <w:rPr>
          <w:sz w:val="28"/>
          <w:szCs w:val="28"/>
        </w:rPr>
        <w:t xml:space="preserve"> признать утратившим силу;</w:t>
      </w:r>
    </w:p>
    <w:p w:rsidR="007D4E12" w:rsidRDefault="007D4E12" w:rsidP="007D4E12">
      <w:pPr>
        <w:ind w:firstLine="540"/>
        <w:jc w:val="both"/>
        <w:rPr>
          <w:sz w:val="28"/>
          <w:szCs w:val="28"/>
        </w:rPr>
      </w:pPr>
    </w:p>
    <w:p w:rsidR="007D4E12" w:rsidRDefault="007D4E12" w:rsidP="007D4E12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8. Абзац 6 пункта 5 статьи 47 Устава</w:t>
      </w:r>
      <w:r>
        <w:rPr>
          <w:sz w:val="28"/>
          <w:szCs w:val="28"/>
        </w:rPr>
        <w:t xml:space="preserve"> изложить в новой редакции:</w:t>
      </w:r>
    </w:p>
    <w:p w:rsidR="007D4E12" w:rsidRDefault="007D4E12" w:rsidP="007D4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7D4E12" w:rsidRDefault="007D4E12" w:rsidP="007D4E12">
      <w:pPr>
        <w:ind w:firstLine="708"/>
        <w:jc w:val="both"/>
        <w:rPr>
          <w:sz w:val="28"/>
          <w:szCs w:val="28"/>
        </w:rPr>
      </w:pPr>
    </w:p>
    <w:p w:rsidR="007D4E12" w:rsidRDefault="007D4E12" w:rsidP="007D4E1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Пункт 6 статьи 47 Устава дополнить следующим абзацем:</w:t>
      </w:r>
    </w:p>
    <w:p w:rsidR="007D4E12" w:rsidRDefault="007D4E12" w:rsidP="007D4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«-осуществляет мероприятия в сфере профилактики правонарушений, предусмотренных </w:t>
      </w:r>
      <w:hyperlink r:id="rId8" w:history="1">
        <w:r>
          <w:rPr>
            <w:rStyle w:val="a5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"Об основах системы профилактики правонарушений в Российской Федерации»; </w:t>
      </w:r>
    </w:p>
    <w:p w:rsidR="007D4E12" w:rsidRDefault="007D4E12" w:rsidP="007D4E1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8F5E0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 4 статьи 77 Устава  дополнить абзацем следующего содержания: </w:t>
      </w:r>
    </w:p>
    <w:p w:rsidR="007D4E12" w:rsidRDefault="007D4E12" w:rsidP="007D4E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 обращению Совета сельского поселения внешняя проверка годового отчета об исполнении бюджета сельского поселения  может осуществляться контрольно-счетным органом муниципального района».</w:t>
      </w:r>
    </w:p>
    <w:p w:rsidR="007D4E12" w:rsidRDefault="007D4E12" w:rsidP="007D4E12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bookmarkEnd w:id="1"/>
    <w:p w:rsidR="007D4E12" w:rsidRDefault="007D4E12" w:rsidP="007D4E12">
      <w:pPr>
        <w:rPr>
          <w:sz w:val="28"/>
          <w:szCs w:val="28"/>
        </w:rPr>
      </w:pPr>
    </w:p>
    <w:p w:rsidR="007D4E12" w:rsidRDefault="007D4E12" w:rsidP="007D4E12">
      <w:pPr>
        <w:jc w:val="right"/>
      </w:pPr>
    </w:p>
    <w:p w:rsidR="007D4E12" w:rsidRDefault="007D4E12" w:rsidP="007D4E12">
      <w:pPr>
        <w:jc w:val="right"/>
      </w:pPr>
    </w:p>
    <w:p w:rsidR="007D4E12" w:rsidRDefault="007D4E12" w:rsidP="007D4E12">
      <w:pPr>
        <w:jc w:val="right"/>
      </w:pPr>
    </w:p>
    <w:p w:rsidR="007D4E12" w:rsidRDefault="007D4E12" w:rsidP="007D4E12">
      <w:pPr>
        <w:jc w:val="right"/>
      </w:pPr>
    </w:p>
    <w:p w:rsidR="007D4E12" w:rsidRDefault="007D4E12" w:rsidP="007D4E12">
      <w:pPr>
        <w:jc w:val="right"/>
      </w:pPr>
    </w:p>
    <w:p w:rsidR="007D4E12" w:rsidRDefault="007D4E12" w:rsidP="007D4E12">
      <w:pPr>
        <w:jc w:val="right"/>
      </w:pPr>
    </w:p>
    <w:p w:rsidR="007D4E12" w:rsidRDefault="007D4E12" w:rsidP="007D4E12">
      <w:pPr>
        <w:jc w:val="right"/>
      </w:pPr>
    </w:p>
    <w:p w:rsidR="007D4E12" w:rsidRDefault="007D4E12" w:rsidP="00CC18DC">
      <w:pPr>
        <w:jc w:val="right"/>
      </w:pPr>
    </w:p>
    <w:p w:rsidR="007D4E12" w:rsidRDefault="007D4E12" w:rsidP="00CC18DC">
      <w:pPr>
        <w:jc w:val="right"/>
      </w:pPr>
    </w:p>
    <w:sectPr w:rsidR="007D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7B"/>
    <w:rsid w:val="007D4E12"/>
    <w:rsid w:val="00923BC5"/>
    <w:rsid w:val="00CC18DC"/>
    <w:rsid w:val="00DE34E7"/>
    <w:rsid w:val="00F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C1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18D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C18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C18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18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CC1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1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8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C1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18D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C18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C18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18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CC1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1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8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28030.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F53ED2E299D8FDF45DA6B92434AFAB23F224DE96C62670CC90ED5F61HDO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nrBlt@tata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5</cp:revision>
  <dcterms:created xsi:type="dcterms:W3CDTF">2016-12-22T06:09:00Z</dcterms:created>
  <dcterms:modified xsi:type="dcterms:W3CDTF">2016-12-28T09:49:00Z</dcterms:modified>
</cp:coreProperties>
</file>