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655810" w:rsidRPr="005E630B" w:rsidTr="00755939">
        <w:trPr>
          <w:trHeight w:val="1071"/>
          <w:jc w:val="center"/>
        </w:trPr>
        <w:tc>
          <w:tcPr>
            <w:tcW w:w="4256" w:type="dxa"/>
            <w:hideMark/>
          </w:tcPr>
          <w:p w:rsidR="00655810" w:rsidRPr="005E630B" w:rsidRDefault="00655810" w:rsidP="0075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5E630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совет МаЛОЛЫЗИнского </w:t>
            </w:r>
          </w:p>
          <w:p w:rsidR="00655810" w:rsidRPr="005E630B" w:rsidRDefault="00655810" w:rsidP="0075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5E630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655810" w:rsidRPr="005E630B" w:rsidRDefault="00655810" w:rsidP="0075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5E630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655810" w:rsidRPr="005E630B" w:rsidRDefault="00655810" w:rsidP="0075593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30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МУНИЦИПАЛЬНОГО</w:t>
            </w:r>
            <w:r w:rsidRPr="005E630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  <w:r w:rsidRPr="005E630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РАЙОНА</w:t>
            </w:r>
            <w:r w:rsidRPr="005E630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  <w:r w:rsidRPr="005E6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655810" w:rsidRPr="005E630B" w:rsidRDefault="00655810" w:rsidP="0075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5E630B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 w:rsidRPr="005E630B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A974ED2" wp14:editId="49B7B025">
                  <wp:extent cx="659130" cy="829310"/>
                  <wp:effectExtent l="0" t="0" r="7620" b="889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655810" w:rsidRPr="005E630B" w:rsidRDefault="00655810" w:rsidP="0075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655810" w:rsidRPr="005E630B" w:rsidRDefault="00655810" w:rsidP="0075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5E630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655810" w:rsidRPr="005E630B" w:rsidRDefault="00655810" w:rsidP="0075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5E630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655810" w:rsidRPr="005E630B" w:rsidRDefault="00655810" w:rsidP="0075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5E630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КЕЧЕ ЛЫЗИ авыл </w:t>
            </w:r>
            <w:r w:rsidRPr="005E630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 xml:space="preserve">җирлеге </w:t>
            </w:r>
          </w:p>
          <w:p w:rsidR="00655810" w:rsidRPr="005E630B" w:rsidRDefault="00655810" w:rsidP="0075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630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советы</w:t>
            </w:r>
            <w:r w:rsidRPr="005E6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55810" w:rsidRPr="005E630B" w:rsidTr="00755939">
        <w:trPr>
          <w:trHeight w:val="70"/>
          <w:jc w:val="center"/>
        </w:trPr>
        <w:tc>
          <w:tcPr>
            <w:tcW w:w="4256" w:type="dxa"/>
            <w:hideMark/>
          </w:tcPr>
          <w:p w:rsidR="00655810" w:rsidRPr="005E630B" w:rsidRDefault="00655810" w:rsidP="0075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Центральная, д. </w:t>
            </w:r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</w:t>
            </w:r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с</w:t>
            </w:r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Малые Лызи</w:t>
            </w:r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422259</w:t>
            </w:r>
          </w:p>
        </w:tc>
        <w:tc>
          <w:tcPr>
            <w:tcW w:w="1136" w:type="dxa"/>
            <w:vMerge/>
            <w:vAlign w:val="center"/>
            <w:hideMark/>
          </w:tcPr>
          <w:p w:rsidR="00655810" w:rsidRPr="005E630B" w:rsidRDefault="00655810" w:rsidP="00755939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4238" w:type="dxa"/>
            <w:gridSpan w:val="2"/>
            <w:hideMark/>
          </w:tcPr>
          <w:p w:rsidR="00655810" w:rsidRPr="005E630B" w:rsidRDefault="00655810" w:rsidP="0075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Центральная ур., 2 нчы йорт, Кече Лызи авылы., 422259</w:t>
            </w:r>
          </w:p>
        </w:tc>
      </w:tr>
      <w:tr w:rsidR="00655810" w:rsidRPr="005E630B" w:rsidTr="00755939">
        <w:trPr>
          <w:trHeight w:val="669"/>
          <w:jc w:val="center"/>
        </w:trPr>
        <w:tc>
          <w:tcPr>
            <w:tcW w:w="9630" w:type="dxa"/>
            <w:gridSpan w:val="4"/>
          </w:tcPr>
          <w:p w:rsidR="00655810" w:rsidRPr="005E630B" w:rsidRDefault="00655810" w:rsidP="0075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55810" w:rsidRPr="005E630B" w:rsidRDefault="00655810" w:rsidP="0075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55810" w:rsidRPr="005E630B" w:rsidRDefault="00655810" w:rsidP="0075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30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E86322" wp14:editId="012FED3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Тел.: (84368) 2-71-59, факс: (84368) 2-71-59. E-mail: </w:t>
            </w:r>
            <w:hyperlink r:id="rId7" w:history="1">
              <w:r w:rsidRPr="005E630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Mlz.Blt@tatar.ru</w:t>
              </w:r>
            </w:hyperlink>
            <w:r w:rsidRPr="005E6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www.baltasi.tatarstan.ru</w:t>
            </w:r>
          </w:p>
        </w:tc>
      </w:tr>
      <w:tr w:rsidR="00655810" w:rsidRPr="005E630B" w:rsidTr="00755939">
        <w:trPr>
          <w:trHeight w:val="743"/>
          <w:jc w:val="center"/>
        </w:trPr>
        <w:tc>
          <w:tcPr>
            <w:tcW w:w="4256" w:type="dxa"/>
          </w:tcPr>
          <w:p w:rsidR="00655810" w:rsidRPr="005E630B" w:rsidRDefault="00655810" w:rsidP="0075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55810" w:rsidRPr="005E630B" w:rsidRDefault="00655810" w:rsidP="0075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655810" w:rsidRPr="005E630B" w:rsidRDefault="00655810" w:rsidP="008A5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A5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E6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8A5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  <w:r w:rsidRPr="005E6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бря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E6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2016 г</w:t>
              </w:r>
            </w:smartTag>
            <w:r w:rsidRPr="005E6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5" w:type="dxa"/>
            <w:gridSpan w:val="2"/>
          </w:tcPr>
          <w:p w:rsidR="00655810" w:rsidRPr="005E630B" w:rsidRDefault="00655810" w:rsidP="0075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29" w:type="dxa"/>
          </w:tcPr>
          <w:p w:rsidR="00655810" w:rsidRPr="005E630B" w:rsidRDefault="00655810" w:rsidP="0075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55810" w:rsidRPr="005E630B" w:rsidRDefault="00655810" w:rsidP="0075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  <w:p w:rsidR="00655810" w:rsidRPr="005E630B" w:rsidRDefault="00655810" w:rsidP="00D1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135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88</w:t>
            </w:r>
            <w:bookmarkStart w:id="0" w:name="_GoBack"/>
            <w:bookmarkEnd w:id="0"/>
          </w:p>
        </w:tc>
      </w:tr>
    </w:tbl>
    <w:p w:rsidR="00655810" w:rsidRDefault="00655810" w:rsidP="00655810">
      <w:pPr>
        <w:jc w:val="right"/>
        <w:rPr>
          <w:sz w:val="28"/>
          <w:szCs w:val="28"/>
        </w:rPr>
      </w:pPr>
    </w:p>
    <w:p w:rsidR="00655810" w:rsidRPr="00655810" w:rsidRDefault="00655810" w:rsidP="00655810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810" w:rsidRPr="00655810" w:rsidRDefault="00655810" w:rsidP="00655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</w:t>
      </w:r>
    </w:p>
    <w:p w:rsidR="00655810" w:rsidRPr="00655810" w:rsidRDefault="00655810" w:rsidP="00655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Устав муниципального образования «Малолызинское  сельское поселение» Балтасинского  муниципального района РТ  </w:t>
      </w:r>
    </w:p>
    <w:p w:rsidR="00655810" w:rsidRPr="00655810" w:rsidRDefault="00655810" w:rsidP="00655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810" w:rsidRPr="00655810" w:rsidRDefault="00655810" w:rsidP="00655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55810" w:rsidRPr="00655810" w:rsidRDefault="00655810" w:rsidP="006558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 с  Федеральным Законом от 06.10.2003 года № 131-ФЗ «Об общих принципах организации местного самоуправления в Российской Федерации» Законом Республики Татарстан  от 29.11.2014г. №110-ЗРТ «О внесении изменений в Закон РТ «О местном самоуправлении в РТ», а также изучив заключение  прокуратуры Балтасинского муниципального района, по результатам публичных слушаний от 02 декабря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 руководствуясь ст. 79,80,81  Устава муниципального образования «Малолызинское  сельское поселение» Балтасинского муниципального района Республики Татарстан, Совет Малолызинского   сельского поселения Балтасинского муниципального района Республики Татарстан </w:t>
      </w:r>
      <w:r w:rsidRPr="00655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655810" w:rsidRPr="00655810" w:rsidRDefault="00655810" w:rsidP="006558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муниципального образования «Малолызинское  сельское поселение» Балтасинского   муниципального района Республики Татарстан  изменения и дополнения согласно приложению 1.</w:t>
      </w:r>
    </w:p>
    <w:p w:rsidR="00655810" w:rsidRPr="00655810" w:rsidRDefault="00655810" w:rsidP="00655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на государственную регистрацию в установленном законодательством порядке.</w:t>
      </w:r>
    </w:p>
    <w:p w:rsidR="00655810" w:rsidRPr="00655810" w:rsidRDefault="00655810" w:rsidP="00655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после государственной регистрации обнародовать на официальном  сайте Балтасинского муниципального района </w:t>
      </w:r>
      <w:r w:rsidRPr="006558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baltasi</w:t>
      </w:r>
      <w:r w:rsidRPr="00655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58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655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58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65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специальных информационных стендах.</w:t>
      </w:r>
    </w:p>
    <w:p w:rsidR="00655810" w:rsidRPr="00655810" w:rsidRDefault="00655810" w:rsidP="006558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1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его официального обнародования.</w:t>
      </w:r>
    </w:p>
    <w:p w:rsidR="00655810" w:rsidRPr="00655810" w:rsidRDefault="00655810" w:rsidP="00655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1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Решения оставляю за собой.</w:t>
      </w:r>
    </w:p>
    <w:p w:rsidR="00655810" w:rsidRPr="005465B4" w:rsidRDefault="00655810" w:rsidP="00655810">
      <w:pPr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810" w:rsidRPr="005465B4" w:rsidRDefault="00655810" w:rsidP="00655810">
      <w:pPr>
        <w:ind w:rightChars="-1" w:right="-2"/>
        <w:rPr>
          <w:rFonts w:ascii="Times New Roman" w:hAnsi="Times New Roman" w:cs="Times New Roman"/>
          <w:sz w:val="28"/>
          <w:szCs w:val="28"/>
        </w:rPr>
      </w:pPr>
      <w:r w:rsidRPr="005465B4">
        <w:rPr>
          <w:rFonts w:ascii="Times New Roman" w:hAnsi="Times New Roman" w:cs="Times New Roman"/>
          <w:sz w:val="28"/>
          <w:szCs w:val="28"/>
        </w:rPr>
        <w:t xml:space="preserve">       Глава </w:t>
      </w:r>
      <w:r>
        <w:rPr>
          <w:rFonts w:ascii="Times New Roman" w:hAnsi="Times New Roman" w:cs="Times New Roman"/>
          <w:sz w:val="28"/>
          <w:szCs w:val="28"/>
        </w:rPr>
        <w:t>Малолызин</w:t>
      </w:r>
      <w:r w:rsidRPr="005465B4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655810" w:rsidRPr="005465B4" w:rsidRDefault="00655810" w:rsidP="00655810">
      <w:pPr>
        <w:ind w:rightChars="-1" w:right="-2"/>
        <w:rPr>
          <w:rFonts w:ascii="Times New Roman" w:hAnsi="Times New Roman" w:cs="Times New Roman"/>
          <w:sz w:val="28"/>
          <w:szCs w:val="28"/>
        </w:rPr>
      </w:pPr>
      <w:r w:rsidRPr="005465B4">
        <w:rPr>
          <w:rFonts w:ascii="Times New Roman" w:hAnsi="Times New Roman" w:cs="Times New Roman"/>
          <w:sz w:val="28"/>
          <w:szCs w:val="28"/>
        </w:rPr>
        <w:t xml:space="preserve">       сельского поселения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Мухин С.</w:t>
      </w:r>
    </w:p>
    <w:p w:rsidR="00655810" w:rsidRPr="005465B4" w:rsidRDefault="00655810" w:rsidP="0065581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253"/>
      </w:tblGrid>
      <w:tr w:rsidR="00655810" w:rsidRPr="005465B4" w:rsidTr="00755939">
        <w:trPr>
          <w:trHeight w:val="989"/>
        </w:trPr>
        <w:tc>
          <w:tcPr>
            <w:tcW w:w="5211" w:type="dxa"/>
          </w:tcPr>
          <w:p w:rsidR="00655810" w:rsidRPr="005465B4" w:rsidRDefault="00655810" w:rsidP="00755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10" w:rsidRPr="005465B4" w:rsidRDefault="00655810" w:rsidP="00755939">
            <w:pPr>
              <w:jc w:val="both"/>
              <w:rPr>
                <w:rFonts w:ascii="Times New Roman" w:hAnsi="Times New Roman" w:cs="Times New Roman"/>
              </w:rPr>
            </w:pPr>
          </w:p>
          <w:p w:rsidR="00655810" w:rsidRPr="005465B4" w:rsidRDefault="00655810" w:rsidP="00755939">
            <w:pPr>
              <w:jc w:val="both"/>
              <w:rPr>
                <w:rFonts w:ascii="Times New Roman" w:hAnsi="Times New Roman" w:cs="Times New Roman"/>
              </w:rPr>
            </w:pPr>
          </w:p>
          <w:p w:rsidR="00655810" w:rsidRPr="005465B4" w:rsidRDefault="00655810" w:rsidP="00755939">
            <w:pPr>
              <w:jc w:val="both"/>
              <w:rPr>
                <w:rFonts w:ascii="Times New Roman" w:hAnsi="Times New Roman" w:cs="Times New Roman"/>
              </w:rPr>
            </w:pPr>
          </w:p>
          <w:p w:rsidR="00655810" w:rsidRPr="005465B4" w:rsidRDefault="00655810" w:rsidP="00755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5810" w:rsidRPr="005465B4" w:rsidRDefault="00655810" w:rsidP="00755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B4">
              <w:rPr>
                <w:rFonts w:ascii="Times New Roman" w:hAnsi="Times New Roman" w:cs="Times New Roman"/>
              </w:rPr>
              <w:t xml:space="preserve">Приложение №1 </w:t>
            </w:r>
          </w:p>
          <w:p w:rsidR="00655810" w:rsidRPr="005465B4" w:rsidRDefault="00655810" w:rsidP="00755939">
            <w:pPr>
              <w:jc w:val="both"/>
              <w:rPr>
                <w:rFonts w:ascii="Times New Roman" w:hAnsi="Times New Roman" w:cs="Times New Roman"/>
              </w:rPr>
            </w:pPr>
            <w:r w:rsidRPr="005465B4">
              <w:rPr>
                <w:rFonts w:ascii="Times New Roman" w:hAnsi="Times New Roman" w:cs="Times New Roman"/>
              </w:rPr>
              <w:t xml:space="preserve">к решению Совета </w:t>
            </w:r>
          </w:p>
          <w:p w:rsidR="00655810" w:rsidRPr="005465B4" w:rsidRDefault="00655810" w:rsidP="00755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Малолызин</w:t>
            </w:r>
            <w:r w:rsidRPr="005465B4">
              <w:rPr>
                <w:rFonts w:ascii="Times New Roman" w:hAnsi="Times New Roman" w:cs="Times New Roman"/>
              </w:rPr>
              <w:t>ского сельского поселения</w:t>
            </w:r>
          </w:p>
          <w:p w:rsidR="00655810" w:rsidRPr="005465B4" w:rsidRDefault="00655810" w:rsidP="00755939">
            <w:pPr>
              <w:jc w:val="both"/>
              <w:rPr>
                <w:rFonts w:ascii="Times New Roman" w:hAnsi="Times New Roman" w:cs="Times New Roman"/>
              </w:rPr>
            </w:pPr>
            <w:r w:rsidRPr="005465B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88</w:t>
            </w:r>
            <w:r w:rsidRPr="005465B4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24.12</w:t>
            </w:r>
            <w:r w:rsidRPr="005465B4">
              <w:rPr>
                <w:rFonts w:ascii="Times New Roman" w:hAnsi="Times New Roman" w:cs="Times New Roman"/>
              </w:rPr>
              <w:t>.2016г.</w:t>
            </w:r>
          </w:p>
          <w:p w:rsidR="00655810" w:rsidRPr="005465B4" w:rsidRDefault="00655810" w:rsidP="00755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810" w:rsidRPr="005465B4" w:rsidRDefault="00655810" w:rsidP="00655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5B4">
        <w:rPr>
          <w:rFonts w:ascii="Times New Roman" w:hAnsi="Times New Roman" w:cs="Times New Roman"/>
          <w:b/>
        </w:rPr>
        <w:t xml:space="preserve">Изменения и дополнения в Устав муниципального образования </w:t>
      </w:r>
    </w:p>
    <w:p w:rsidR="00655810" w:rsidRPr="005465B4" w:rsidRDefault="00655810" w:rsidP="00655810">
      <w:pPr>
        <w:jc w:val="center"/>
        <w:rPr>
          <w:rFonts w:ascii="Times New Roman" w:hAnsi="Times New Roman" w:cs="Times New Roman"/>
          <w:b/>
        </w:rPr>
      </w:pPr>
      <w:r w:rsidRPr="005465B4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Малолызин</w:t>
      </w:r>
      <w:r w:rsidRPr="005465B4">
        <w:rPr>
          <w:rFonts w:ascii="Times New Roman" w:hAnsi="Times New Roman" w:cs="Times New Roman"/>
          <w:b/>
        </w:rPr>
        <w:t>ское сельское поселение» Балтасинского муниципального района</w:t>
      </w:r>
    </w:p>
    <w:p w:rsidR="00655810" w:rsidRPr="005465B4" w:rsidRDefault="00655810" w:rsidP="00655810">
      <w:pPr>
        <w:jc w:val="center"/>
        <w:rPr>
          <w:rFonts w:ascii="Times New Roman" w:hAnsi="Times New Roman" w:cs="Times New Roman"/>
          <w:b/>
        </w:rPr>
      </w:pPr>
      <w:r w:rsidRPr="005465B4">
        <w:rPr>
          <w:rFonts w:ascii="Times New Roman" w:hAnsi="Times New Roman" w:cs="Times New Roman"/>
          <w:b/>
        </w:rPr>
        <w:t xml:space="preserve"> Республики Татарстан</w:t>
      </w:r>
    </w:p>
    <w:p w:rsidR="00655810" w:rsidRPr="005465B4" w:rsidRDefault="00655810" w:rsidP="006558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5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55810" w:rsidRPr="005465B4" w:rsidRDefault="00655810" w:rsidP="0065581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5B4">
        <w:rPr>
          <w:rFonts w:ascii="Times New Roman" w:hAnsi="Times New Roman" w:cs="Times New Roman"/>
          <w:b/>
          <w:sz w:val="24"/>
          <w:szCs w:val="24"/>
        </w:rPr>
        <w:t xml:space="preserve"> 1. статья 6  Устава </w:t>
      </w:r>
      <w:r w:rsidRPr="005465B4">
        <w:rPr>
          <w:rFonts w:ascii="Times New Roman" w:hAnsi="Times New Roman" w:cs="Times New Roman"/>
          <w:b/>
          <w:bCs/>
          <w:sz w:val="24"/>
          <w:szCs w:val="24"/>
        </w:rPr>
        <w:t>дополнить подпунктом 15 следующего содержания:</w:t>
      </w:r>
    </w:p>
    <w:p w:rsidR="00655810" w:rsidRPr="005465B4" w:rsidRDefault="00655810" w:rsidP="006558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65B4">
        <w:rPr>
          <w:rFonts w:ascii="Times New Roman" w:hAnsi="Times New Roman" w:cs="Times New Roman"/>
          <w:bCs/>
        </w:rPr>
        <w:t xml:space="preserve">«15) осуществление мероприятий в сфере профилактики правонарушений, предусмотренных Федеральным </w:t>
      </w:r>
      <w:hyperlink r:id="rId8" w:history="1">
        <w:r w:rsidRPr="005465B4">
          <w:rPr>
            <w:rStyle w:val="a3"/>
            <w:rFonts w:ascii="Times New Roman" w:hAnsi="Times New Roman" w:cs="Times New Roman"/>
            <w:bCs/>
          </w:rPr>
          <w:t>законом</w:t>
        </w:r>
      </w:hyperlink>
      <w:r w:rsidRPr="005465B4">
        <w:rPr>
          <w:rFonts w:ascii="Times New Roman" w:hAnsi="Times New Roman" w:cs="Times New Roman"/>
          <w:bCs/>
        </w:rPr>
        <w:t xml:space="preserve"> «Об основах системы профилактики правонарушений в Российской Федерации».»;</w:t>
      </w:r>
    </w:p>
    <w:p w:rsidR="00655810" w:rsidRPr="005465B4" w:rsidRDefault="00655810" w:rsidP="00655810">
      <w:pPr>
        <w:jc w:val="both"/>
        <w:rPr>
          <w:rFonts w:ascii="Times New Roman" w:hAnsi="Times New Roman" w:cs="Times New Roman"/>
          <w:b/>
        </w:rPr>
      </w:pPr>
      <w:r w:rsidRPr="005465B4">
        <w:rPr>
          <w:rFonts w:ascii="Times New Roman" w:hAnsi="Times New Roman" w:cs="Times New Roman"/>
          <w:b/>
        </w:rPr>
        <w:t xml:space="preserve">         2.   Пункт 2 статьи 42 Устава признать утратившим силу.</w:t>
      </w:r>
    </w:p>
    <w:p w:rsidR="00655810" w:rsidRPr="005465B4" w:rsidRDefault="00655810" w:rsidP="00655810">
      <w:pPr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  <w:b/>
        </w:rPr>
        <w:t xml:space="preserve">         3.</w:t>
      </w:r>
      <w:r w:rsidRPr="005465B4">
        <w:rPr>
          <w:rFonts w:ascii="Times New Roman" w:hAnsi="Times New Roman" w:cs="Times New Roman"/>
        </w:rPr>
        <w:t xml:space="preserve"> </w:t>
      </w:r>
      <w:r w:rsidRPr="005465B4">
        <w:rPr>
          <w:rFonts w:ascii="Times New Roman" w:hAnsi="Times New Roman" w:cs="Times New Roman"/>
          <w:b/>
        </w:rPr>
        <w:t>Часть 4 статьи 42 Устава  изложить в следующей редакции:</w:t>
      </w:r>
      <w:r w:rsidRPr="005465B4">
        <w:rPr>
          <w:rFonts w:ascii="Times New Roman" w:hAnsi="Times New Roman" w:cs="Times New Roman"/>
        </w:rPr>
        <w:t xml:space="preserve"> </w:t>
      </w:r>
    </w:p>
    <w:p w:rsidR="00655810" w:rsidRPr="005465B4" w:rsidRDefault="00655810" w:rsidP="00655810">
      <w:pPr>
        <w:ind w:firstLine="708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>«Глава поселения  представляет Совету поселения ежегодные отчеты о результатах своей деятельности, а в случае, если глава поселения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поселения»;</w:t>
      </w:r>
    </w:p>
    <w:p w:rsidR="00655810" w:rsidRPr="005465B4" w:rsidRDefault="00655810" w:rsidP="006558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465B4">
        <w:rPr>
          <w:rFonts w:ascii="Times New Roman" w:hAnsi="Times New Roman" w:cs="Times New Roman"/>
          <w:b/>
        </w:rPr>
        <w:t xml:space="preserve">         4</w:t>
      </w:r>
      <w:r w:rsidRPr="005465B4">
        <w:rPr>
          <w:rFonts w:ascii="Times New Roman" w:hAnsi="Times New Roman" w:cs="Times New Roman"/>
        </w:rPr>
        <w:t xml:space="preserve">. </w:t>
      </w:r>
      <w:r w:rsidRPr="005465B4">
        <w:rPr>
          <w:rFonts w:ascii="Times New Roman" w:hAnsi="Times New Roman" w:cs="Times New Roman"/>
          <w:b/>
        </w:rPr>
        <w:t>Статью 43 Устава дополнить пунктами 10.1, 10.2 и 10.3 следующего содержания:</w:t>
      </w:r>
    </w:p>
    <w:p w:rsidR="00655810" w:rsidRPr="005465B4" w:rsidRDefault="00655810" w:rsidP="00655810">
      <w:pPr>
        <w:ind w:firstLine="709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>«10.1) в сфере муниципально-частного партнерства принимает решения о реализации проекта муниципально-частного партнерства, если публичным партнером является муниципальное образование «</w:t>
      </w:r>
      <w:r>
        <w:rPr>
          <w:rFonts w:ascii="Times New Roman" w:hAnsi="Times New Roman" w:cs="Times New Roman"/>
        </w:rPr>
        <w:t>Малолызин</w:t>
      </w:r>
      <w:r w:rsidRPr="005465B4">
        <w:rPr>
          <w:rFonts w:ascii="Times New Roman" w:hAnsi="Times New Roman" w:cs="Times New Roman"/>
        </w:rPr>
        <w:t>ское сельское поселение»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Республики Татарстан), а также осуществление иных полномочий, предусмотренных Федеральным законом от 13.07.2015 №224-ФЗ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Федерации, другими федеральными законами и нормативными правовыми актами Российской Федерации, нормативными правовыми актами субъектов Российской Федерации, Уставом поселения и муниципальными правовыми актами.</w:t>
      </w:r>
    </w:p>
    <w:p w:rsidR="00655810" w:rsidRPr="005465B4" w:rsidRDefault="00655810" w:rsidP="00655810">
      <w:pPr>
        <w:ind w:firstLine="709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>10.2) определяет органы местного самоуправления на осуществление полномочий в соответствии с Федеральным законом от 13.07.2015 N 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:rsidR="00655810" w:rsidRPr="005465B4" w:rsidRDefault="00655810" w:rsidP="00655810">
      <w:pPr>
        <w:ind w:firstLine="708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10.3) направляет в орган исполнительной власти Республики Татарстан, определенный высшим исполнительным органом государственной власти Республики Татарстан, проект </w:t>
      </w:r>
      <w:r w:rsidRPr="005465B4">
        <w:rPr>
          <w:rFonts w:ascii="Times New Roman" w:hAnsi="Times New Roman" w:cs="Times New Roman"/>
        </w:rPr>
        <w:lastRenderedPageBreak/>
        <w:t>муниципально-частного партнерства для проведения оценки эффективности проекта и определения его сравнительного преимущества в соответствии Федеральным законом от 13.07.2015 года №224-ФЗ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:rsidR="00655810" w:rsidRPr="005465B4" w:rsidRDefault="00655810" w:rsidP="00655810">
      <w:pPr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     </w:t>
      </w:r>
      <w:r w:rsidRPr="005465B4">
        <w:rPr>
          <w:rFonts w:ascii="Times New Roman" w:hAnsi="Times New Roman" w:cs="Times New Roman"/>
          <w:b/>
        </w:rPr>
        <w:t>5. Подпункт 12 пункта 1 статьи 44 Устава признать утратившим силу.</w:t>
      </w:r>
      <w:r w:rsidRPr="005465B4">
        <w:rPr>
          <w:rFonts w:ascii="Times New Roman" w:hAnsi="Times New Roman" w:cs="Times New Roman"/>
        </w:rPr>
        <w:t xml:space="preserve">  </w:t>
      </w:r>
    </w:p>
    <w:p w:rsidR="00655810" w:rsidRPr="005465B4" w:rsidRDefault="00655810" w:rsidP="00655810">
      <w:pPr>
        <w:jc w:val="both"/>
        <w:rPr>
          <w:rFonts w:ascii="Times New Roman" w:hAnsi="Times New Roman" w:cs="Times New Roman"/>
          <w:b/>
        </w:rPr>
      </w:pPr>
      <w:bookmarkStart w:id="1" w:name="sub_140121"/>
      <w:r w:rsidRPr="005465B4">
        <w:rPr>
          <w:rFonts w:ascii="Times New Roman" w:hAnsi="Times New Roman" w:cs="Times New Roman"/>
          <w:b/>
        </w:rPr>
        <w:t xml:space="preserve">     6</w:t>
      </w:r>
      <w:r w:rsidRPr="005465B4">
        <w:rPr>
          <w:rFonts w:ascii="Times New Roman" w:hAnsi="Times New Roman" w:cs="Times New Roman"/>
        </w:rPr>
        <w:t xml:space="preserve">. </w:t>
      </w:r>
      <w:r w:rsidRPr="005465B4">
        <w:rPr>
          <w:rFonts w:ascii="Times New Roman" w:hAnsi="Times New Roman" w:cs="Times New Roman"/>
          <w:b/>
        </w:rPr>
        <w:t>Абзац 4 пункта 4 статьи 47 Устава</w:t>
      </w:r>
      <w:r w:rsidRPr="005465B4">
        <w:rPr>
          <w:rFonts w:ascii="Times New Roman" w:hAnsi="Times New Roman" w:cs="Times New Roman"/>
        </w:rPr>
        <w:t xml:space="preserve"> </w:t>
      </w:r>
      <w:r w:rsidRPr="005465B4">
        <w:rPr>
          <w:rFonts w:ascii="Times New Roman" w:hAnsi="Times New Roman" w:cs="Times New Roman"/>
          <w:b/>
        </w:rPr>
        <w:t xml:space="preserve">изложить в следующей редакции: </w:t>
      </w:r>
    </w:p>
    <w:p w:rsidR="00655810" w:rsidRPr="005465B4" w:rsidRDefault="00655810" w:rsidP="00655810">
      <w:pPr>
        <w:ind w:firstLine="708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>«-обеспечение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655810" w:rsidRPr="005465B4" w:rsidRDefault="00655810" w:rsidP="0065581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  <w:b/>
        </w:rPr>
        <w:t xml:space="preserve">    7. Абзац 2 подпункта 5 статьи 47 Устава</w:t>
      </w:r>
      <w:r w:rsidRPr="005465B4">
        <w:rPr>
          <w:rFonts w:ascii="Times New Roman" w:hAnsi="Times New Roman" w:cs="Times New Roman"/>
        </w:rPr>
        <w:t xml:space="preserve"> признать утратившим силу;</w:t>
      </w:r>
    </w:p>
    <w:p w:rsidR="00655810" w:rsidRPr="005465B4" w:rsidRDefault="00655810" w:rsidP="00655810">
      <w:pPr>
        <w:ind w:firstLine="540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ab/>
        <w:t>- организация сбора и вывоза бытовых отходов и мусора;</w:t>
      </w:r>
    </w:p>
    <w:p w:rsidR="00655810" w:rsidRPr="005465B4" w:rsidRDefault="00655810" w:rsidP="00655810">
      <w:pPr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  <w:b/>
        </w:rPr>
        <w:t xml:space="preserve">    8. Абзац 6 подпункта 5 статьи 47 Устава</w:t>
      </w:r>
      <w:r w:rsidRPr="005465B4">
        <w:rPr>
          <w:rFonts w:ascii="Times New Roman" w:hAnsi="Times New Roman" w:cs="Times New Roman"/>
        </w:rPr>
        <w:t xml:space="preserve"> изложить в новой редакции:</w:t>
      </w:r>
    </w:p>
    <w:p w:rsidR="00655810" w:rsidRPr="005465B4" w:rsidRDefault="00655810" w:rsidP="00655810">
      <w:pPr>
        <w:ind w:firstLine="540"/>
        <w:jc w:val="both"/>
        <w:rPr>
          <w:rFonts w:ascii="Times New Roman" w:eastAsia="Calibri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- </w:t>
      </w:r>
      <w:r w:rsidRPr="005465B4">
        <w:rPr>
          <w:rFonts w:ascii="Times New Roman" w:eastAsia="Calibri" w:hAnsi="Times New Roman" w:cs="Times New Roman"/>
        </w:rPr>
        <w:t>участие в организации деятельности по сбору (в том числе раздельному сбору) и транспортированию твердых коммунальных отходов;;</w:t>
      </w:r>
    </w:p>
    <w:p w:rsidR="00655810" w:rsidRPr="005465B4" w:rsidRDefault="00655810" w:rsidP="00655810">
      <w:pPr>
        <w:jc w:val="both"/>
        <w:rPr>
          <w:rFonts w:ascii="Times New Roman" w:eastAsia="Times New Roman" w:hAnsi="Times New Roman" w:cs="Times New Roman"/>
          <w:b/>
        </w:rPr>
      </w:pPr>
      <w:r w:rsidRPr="005465B4">
        <w:rPr>
          <w:rFonts w:ascii="Times New Roman" w:hAnsi="Times New Roman" w:cs="Times New Roman"/>
          <w:b/>
        </w:rPr>
        <w:t xml:space="preserve">    9.</w:t>
      </w:r>
      <w:r w:rsidRPr="005465B4">
        <w:rPr>
          <w:rFonts w:ascii="Times New Roman" w:hAnsi="Times New Roman" w:cs="Times New Roman"/>
        </w:rPr>
        <w:t xml:space="preserve"> </w:t>
      </w:r>
      <w:r w:rsidRPr="005465B4">
        <w:rPr>
          <w:rFonts w:ascii="Times New Roman" w:hAnsi="Times New Roman" w:cs="Times New Roman"/>
          <w:b/>
        </w:rPr>
        <w:t>Подпункт 6 статьи 47 Устава дополнить следующим абзацем:</w:t>
      </w:r>
    </w:p>
    <w:p w:rsidR="00655810" w:rsidRPr="005465B4" w:rsidRDefault="00655810" w:rsidP="00655810">
      <w:pPr>
        <w:ind w:firstLine="708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 «-осуществляет мероприятия в сфере профилактики правонарушений, предусмотренных </w:t>
      </w:r>
      <w:hyperlink r:id="rId9" w:history="1">
        <w:r w:rsidRPr="005465B4">
          <w:rPr>
            <w:rStyle w:val="a3"/>
            <w:rFonts w:ascii="Times New Roman" w:hAnsi="Times New Roman" w:cs="Times New Roman"/>
          </w:rPr>
          <w:t>Федеральным законом</w:t>
        </w:r>
      </w:hyperlink>
      <w:r w:rsidRPr="005465B4">
        <w:rPr>
          <w:rFonts w:ascii="Times New Roman" w:hAnsi="Times New Roman" w:cs="Times New Roman"/>
        </w:rPr>
        <w:t xml:space="preserve"> "Об основах системы профилактики правонарушений в Российской Федерации»; </w:t>
      </w:r>
    </w:p>
    <w:p w:rsidR="00655810" w:rsidRPr="005465B4" w:rsidRDefault="00655810" w:rsidP="006558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465B4">
        <w:rPr>
          <w:rFonts w:ascii="Times New Roman" w:hAnsi="Times New Roman" w:cs="Times New Roman"/>
        </w:rPr>
        <w:t xml:space="preserve">   </w:t>
      </w:r>
      <w:r w:rsidRPr="005465B4">
        <w:rPr>
          <w:rFonts w:ascii="Times New Roman" w:hAnsi="Times New Roman" w:cs="Times New Roman"/>
          <w:b/>
        </w:rPr>
        <w:t>10.</w:t>
      </w:r>
      <w:r w:rsidRPr="005465B4">
        <w:rPr>
          <w:rFonts w:ascii="Times New Roman" w:hAnsi="Times New Roman" w:cs="Times New Roman"/>
        </w:rPr>
        <w:t xml:space="preserve"> </w:t>
      </w:r>
      <w:r w:rsidRPr="005465B4">
        <w:rPr>
          <w:rFonts w:ascii="Times New Roman" w:hAnsi="Times New Roman" w:cs="Times New Roman"/>
          <w:b/>
        </w:rPr>
        <w:t xml:space="preserve">Пункт 4 статьи 77 Устава  дополнить абзацем следующего содержания: </w:t>
      </w:r>
    </w:p>
    <w:p w:rsidR="00655810" w:rsidRPr="005465B4" w:rsidRDefault="00655810" w:rsidP="0065581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>«По обращению Совета сельского поселения внешняя проверка годового отчета об исполнении бюджета сельского поселения  может осуществляться контрольно-счетным органом муниципального района».</w:t>
      </w:r>
    </w:p>
    <w:p w:rsidR="00655810" w:rsidRPr="005465B4" w:rsidRDefault="00655810" w:rsidP="0065581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655810" w:rsidRPr="005465B4" w:rsidRDefault="00655810" w:rsidP="00655810">
      <w:pPr>
        <w:ind w:firstLine="708"/>
        <w:jc w:val="both"/>
        <w:rPr>
          <w:rFonts w:ascii="Times New Roman" w:hAnsi="Times New Roman" w:cs="Times New Roman"/>
        </w:rPr>
      </w:pPr>
    </w:p>
    <w:bookmarkEnd w:id="1"/>
    <w:p w:rsidR="00D551AB" w:rsidRDefault="00D551AB"/>
    <w:sectPr w:rsidR="00D5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32F6"/>
    <w:multiLevelType w:val="hybridMultilevel"/>
    <w:tmpl w:val="2F40F08C"/>
    <w:lvl w:ilvl="0" w:tplc="57A6F83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FB"/>
    <w:rsid w:val="00655810"/>
    <w:rsid w:val="006E5ED0"/>
    <w:rsid w:val="008A58BA"/>
    <w:rsid w:val="00D13573"/>
    <w:rsid w:val="00D551AB"/>
    <w:rsid w:val="00E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810"/>
    <w:rPr>
      <w:color w:val="0000FF" w:themeColor="hyperlink"/>
      <w:u w:val="single"/>
    </w:rPr>
  </w:style>
  <w:style w:type="paragraph" w:customStyle="1" w:styleId="ConsPlusNormal">
    <w:name w:val="ConsPlusNormal"/>
    <w:rsid w:val="00655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655810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65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810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65581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810"/>
    <w:rPr>
      <w:color w:val="0000FF" w:themeColor="hyperlink"/>
      <w:u w:val="single"/>
    </w:rPr>
  </w:style>
  <w:style w:type="paragraph" w:customStyle="1" w:styleId="ConsPlusNormal">
    <w:name w:val="ConsPlusNormal"/>
    <w:rsid w:val="00655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655810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65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810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65581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F53ED2E299D8FDF45DA6B92434AFAB23F224DE96C62670CC90ED5F61HDOF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lz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132803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Мало-Лызи</dc:creator>
  <cp:lastModifiedBy>Мало-Лызи</cp:lastModifiedBy>
  <cp:revision>4</cp:revision>
  <dcterms:created xsi:type="dcterms:W3CDTF">2016-12-28T05:44:00Z</dcterms:created>
  <dcterms:modified xsi:type="dcterms:W3CDTF">2016-12-28T05:50:00Z</dcterms:modified>
</cp:coreProperties>
</file>