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7"/>
        <w:gridCol w:w="1136"/>
        <w:gridCol w:w="4239"/>
      </w:tblGrid>
      <w:tr w:rsidR="009D27EE" w:rsidRPr="009D27EE" w:rsidTr="00DE664F">
        <w:trPr>
          <w:trHeight w:val="1071"/>
          <w:jc w:val="center"/>
        </w:trPr>
        <w:tc>
          <w:tcPr>
            <w:tcW w:w="4257" w:type="dxa"/>
            <w:shd w:val="clear" w:color="auto" w:fill="auto"/>
          </w:tcPr>
          <w:p w:rsidR="009D27EE" w:rsidRPr="009D27EE" w:rsidRDefault="009D27EE" w:rsidP="009D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9D27EE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БАЛТАСИНСКИЙ РАЙОННЫЙ </w:t>
            </w:r>
          </w:p>
          <w:p w:rsidR="009D27EE" w:rsidRPr="009D27EE" w:rsidRDefault="009D27EE" w:rsidP="009D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9D2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</w:t>
            </w:r>
          </w:p>
          <w:p w:rsidR="009D27EE" w:rsidRPr="009D27EE" w:rsidRDefault="009D27EE" w:rsidP="009D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7EE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</w:t>
            </w:r>
            <w:r w:rsidRPr="009D2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9D27EE" w:rsidRPr="009D27EE" w:rsidRDefault="009D27EE" w:rsidP="009D27EE">
            <w:pPr>
              <w:spacing w:after="0" w:line="240" w:lineRule="auto"/>
              <w:ind w:left="-18"/>
              <w:jc w:val="center"/>
              <w:rPr>
                <w:rFonts w:ascii="SL_Nimbus" w:eastAsia="Times New Roman" w:hAnsi="SL_Nimbus" w:cs="Times New Roman"/>
                <w:b/>
                <w:bCs/>
                <w:caps/>
                <w:sz w:val="16"/>
                <w:szCs w:val="16"/>
                <w:lang w:val="en-US" w:eastAsia="ru-RU"/>
              </w:rPr>
            </w:pPr>
            <w:r w:rsidRPr="009D27EE">
              <w:rPr>
                <w:rFonts w:ascii="SL_Nimbus" w:eastAsia="Times New Roman" w:hAnsi="SL_Nimbus" w:cs="Times New Roman"/>
                <w:b/>
                <w:caps/>
                <w:noProof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SL_Nimbus" w:eastAsia="Times New Roman" w:hAnsi="SL_Nimbus" w:cs="Times New Roman"/>
                <w:b/>
                <w:caps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657225" cy="828675"/>
                  <wp:effectExtent l="0" t="0" r="9525" b="9525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shd w:val="clear" w:color="auto" w:fill="auto"/>
          </w:tcPr>
          <w:p w:rsidR="009D27EE" w:rsidRPr="009D27EE" w:rsidRDefault="009D27EE" w:rsidP="009D27EE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</w:t>
            </w:r>
          </w:p>
          <w:p w:rsidR="009D27EE" w:rsidRPr="009D27EE" w:rsidRDefault="009D27EE" w:rsidP="009D27EE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БАЛТАЧ  РАЙОН</w:t>
            </w:r>
          </w:p>
          <w:p w:rsidR="009D27EE" w:rsidRPr="009D27EE" w:rsidRDefault="009D27EE" w:rsidP="009D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D2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БАШКАРМА  КОМИТЕТЫ</w:t>
            </w:r>
          </w:p>
        </w:tc>
      </w:tr>
      <w:tr w:rsidR="009D27EE" w:rsidRPr="009D27EE" w:rsidTr="00DE664F">
        <w:trPr>
          <w:trHeight w:val="70"/>
          <w:jc w:val="center"/>
        </w:trPr>
        <w:tc>
          <w:tcPr>
            <w:tcW w:w="4257" w:type="dxa"/>
            <w:shd w:val="clear" w:color="auto" w:fill="auto"/>
          </w:tcPr>
          <w:p w:rsidR="009D27EE" w:rsidRPr="009D27EE" w:rsidRDefault="009D27EE" w:rsidP="009D27EE">
            <w:pPr>
              <w:spacing w:after="0" w:line="240" w:lineRule="auto"/>
              <w:ind w:right="57"/>
              <w:jc w:val="center"/>
              <w:rPr>
                <w:rFonts w:ascii="SL_Nimbus" w:eastAsia="Times New Roman" w:hAnsi="SL_Nimbus" w:cs="Times New Roman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9D27EE" w:rsidRPr="009D27EE" w:rsidRDefault="009D27EE" w:rsidP="009D27EE">
            <w:pPr>
              <w:spacing w:after="0" w:line="240" w:lineRule="auto"/>
              <w:jc w:val="center"/>
              <w:rPr>
                <w:rFonts w:ascii="SL_Nimbus" w:eastAsia="Times New Roman" w:hAnsi="SL_Nimbus" w:cs="Times New Roman"/>
                <w:szCs w:val="24"/>
                <w:lang w:eastAsia="ru-RU"/>
              </w:rPr>
            </w:pPr>
          </w:p>
        </w:tc>
        <w:tc>
          <w:tcPr>
            <w:tcW w:w="4239" w:type="dxa"/>
            <w:shd w:val="clear" w:color="auto" w:fill="auto"/>
          </w:tcPr>
          <w:p w:rsidR="009D27EE" w:rsidRPr="009D27EE" w:rsidRDefault="009D27EE" w:rsidP="009D27EE">
            <w:pPr>
              <w:spacing w:after="0" w:line="240" w:lineRule="auto"/>
              <w:ind w:right="57"/>
              <w:jc w:val="center"/>
              <w:rPr>
                <w:rFonts w:ascii="SL_Nimbus" w:eastAsia="Times New Roman" w:hAnsi="SL_Nimbus" w:cs="Times New Roman"/>
                <w:szCs w:val="24"/>
                <w:lang w:eastAsia="ru-RU"/>
              </w:rPr>
            </w:pPr>
            <w:r w:rsidRPr="009D27E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</w:t>
            </w:r>
          </w:p>
        </w:tc>
      </w:tr>
      <w:tr w:rsidR="009D27EE" w:rsidRPr="009D27EE" w:rsidTr="00DE664F">
        <w:trPr>
          <w:trHeight w:val="669"/>
          <w:jc w:val="center"/>
        </w:trPr>
        <w:tc>
          <w:tcPr>
            <w:tcW w:w="9632" w:type="dxa"/>
            <w:gridSpan w:val="3"/>
            <w:shd w:val="clear" w:color="auto" w:fill="auto"/>
          </w:tcPr>
          <w:p w:rsidR="009D27EE" w:rsidRPr="009D27EE" w:rsidRDefault="009D27EE" w:rsidP="009D27EE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27EE" w:rsidRPr="009D27EE" w:rsidRDefault="009D27EE" w:rsidP="009D27EE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27EE" w:rsidRPr="009D27EE" w:rsidRDefault="009D27EE" w:rsidP="009D27EE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246380</wp:posOffset>
                      </wp:positionV>
                      <wp:extent cx="6131560" cy="635"/>
                      <wp:effectExtent l="18415" t="12065" r="12700" b="1587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156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2.35pt;margin-top:19.4pt;width:482.8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" strokeweight="1.5pt"/>
                  </w:pict>
                </mc:Fallback>
              </mc:AlternateContent>
            </w:r>
          </w:p>
        </w:tc>
      </w:tr>
    </w:tbl>
    <w:p w:rsidR="009D27EE" w:rsidRPr="009D27EE" w:rsidRDefault="009D27EE" w:rsidP="009D27E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108" w:tblpY="193"/>
        <w:tblW w:w="0" w:type="auto"/>
        <w:tblLook w:val="04A0" w:firstRow="1" w:lastRow="0" w:firstColumn="1" w:lastColumn="0" w:noHBand="0" w:noVBand="1"/>
      </w:tblPr>
      <w:tblGrid>
        <w:gridCol w:w="4344"/>
        <w:gridCol w:w="1122"/>
        <w:gridCol w:w="4105"/>
      </w:tblGrid>
      <w:tr w:rsidR="009D27EE" w:rsidRPr="009D27EE" w:rsidTr="00DE664F">
        <w:tc>
          <w:tcPr>
            <w:tcW w:w="4368" w:type="dxa"/>
            <w:shd w:val="clear" w:color="auto" w:fill="auto"/>
          </w:tcPr>
          <w:p w:rsidR="009D27EE" w:rsidRPr="009D27EE" w:rsidRDefault="009D27EE" w:rsidP="009D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9D27EE" w:rsidRPr="009D27EE" w:rsidRDefault="009D27EE" w:rsidP="009D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27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</w:tc>
        <w:tc>
          <w:tcPr>
            <w:tcW w:w="1136" w:type="dxa"/>
            <w:shd w:val="clear" w:color="auto" w:fill="auto"/>
          </w:tcPr>
          <w:p w:rsidR="009D27EE" w:rsidRPr="009D27EE" w:rsidRDefault="009D27EE" w:rsidP="009D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27EE" w:rsidRPr="009D27EE" w:rsidRDefault="009D27EE" w:rsidP="009D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2" w:type="dxa"/>
            <w:shd w:val="clear" w:color="auto" w:fill="auto"/>
          </w:tcPr>
          <w:p w:rsidR="009D27EE" w:rsidRPr="009D27EE" w:rsidRDefault="009D27EE" w:rsidP="009D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9D27EE" w:rsidRPr="009D27EE" w:rsidRDefault="009D27EE" w:rsidP="009D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27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КАРАР</w:t>
            </w:r>
          </w:p>
        </w:tc>
      </w:tr>
      <w:tr w:rsidR="009D27EE" w:rsidRPr="009D27EE" w:rsidTr="00DE664F">
        <w:trPr>
          <w:trHeight w:val="569"/>
        </w:trPr>
        <w:tc>
          <w:tcPr>
            <w:tcW w:w="4368" w:type="dxa"/>
            <w:shd w:val="clear" w:color="auto" w:fill="auto"/>
          </w:tcPr>
          <w:p w:rsidR="009D27EE" w:rsidRPr="009D27EE" w:rsidRDefault="009D27EE" w:rsidP="00D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D2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D72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31 </w:t>
            </w:r>
            <w:r w:rsidRPr="009D2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D72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октября</w:t>
            </w:r>
            <w:bookmarkStart w:id="0" w:name="_GoBack"/>
            <w:bookmarkEnd w:id="0"/>
            <w:r w:rsidRPr="009D2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2016 г.</w:t>
            </w:r>
          </w:p>
        </w:tc>
        <w:tc>
          <w:tcPr>
            <w:tcW w:w="1136" w:type="dxa"/>
            <w:shd w:val="clear" w:color="auto" w:fill="auto"/>
          </w:tcPr>
          <w:p w:rsidR="009D27EE" w:rsidRPr="009D27EE" w:rsidRDefault="009D27EE" w:rsidP="009D27E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9D27EE" w:rsidRPr="009D27EE" w:rsidRDefault="009D27EE" w:rsidP="009D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152" w:type="dxa"/>
            <w:shd w:val="clear" w:color="auto" w:fill="auto"/>
          </w:tcPr>
          <w:p w:rsidR="009D27EE" w:rsidRPr="009D27EE" w:rsidRDefault="009D27EE" w:rsidP="00D7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 </w:t>
            </w:r>
            <w:r w:rsidR="00D72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</w:t>
            </w:r>
          </w:p>
        </w:tc>
      </w:tr>
    </w:tbl>
    <w:p w:rsidR="00D922E7" w:rsidRDefault="00D922E7" w:rsidP="009D27EE">
      <w:pPr>
        <w:rPr>
          <w:rFonts w:ascii="Times New Roman" w:hAnsi="Times New Roman" w:cs="Times New Roman"/>
          <w:sz w:val="28"/>
          <w:szCs w:val="28"/>
        </w:rPr>
      </w:pPr>
    </w:p>
    <w:p w:rsidR="00EF5B5A" w:rsidRDefault="00EF5B5A" w:rsidP="00D922E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изменении и дополнений в постановление Балтасинского районного исполнительного комитета Республики Татарстан от 11.07.2016 №181 «</w:t>
      </w:r>
      <w:r w:rsidRPr="00EF5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«Об осуществлении муниципального контроля за использованием и сохранностью муниципального жилищного фонда, соответствием жилых помещений данного </w:t>
      </w:r>
      <w:proofErr w:type="gramStart"/>
      <w:r w:rsidRPr="00EF5B5A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фонда</w:t>
      </w:r>
      <w:proofErr w:type="gramEnd"/>
      <w:r w:rsidRPr="00EF5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установленным санитарным и техническим правилам и нормам, иным требованиям законодательства»</w:t>
      </w:r>
    </w:p>
    <w:p w:rsidR="00D922E7" w:rsidRDefault="00D922E7" w:rsidP="00D922E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B5A" w:rsidRDefault="00EF5B5A" w:rsidP="00D922E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Ф</w:t>
      </w:r>
      <w:r w:rsidR="008C032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едерального закона от 26.12.08 №294 – 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Балтасинский районный исполнительный комитет Республики Татарстан </w:t>
      </w:r>
      <w:r w:rsidRPr="00EF5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EF5B5A" w:rsidRDefault="00040B0B" w:rsidP="00D922E7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Административный регламент по предоставлению муниципальной услуги «Об осуществлении муниципального жилищного </w:t>
      </w:r>
      <w:proofErr w:type="gramStart"/>
      <w:r w:rsidRPr="009614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961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использованием и сохранностью жилищного фонда, соответствием жилых помещений фонда установленным санитарным и техническим правилам и нормам,  иным требованиям законодательства»</w:t>
      </w:r>
      <w:r w:rsidR="0096149E" w:rsidRPr="00961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утвержденный постановлением Балтасинского районного исполнительного комитета от</w:t>
      </w:r>
      <w:r w:rsidR="0096149E" w:rsidRPr="0096149E">
        <w:rPr>
          <w:rFonts w:ascii="Times New Roman" w:hAnsi="Times New Roman" w:cs="Times New Roman"/>
          <w:sz w:val="28"/>
          <w:szCs w:val="28"/>
        </w:rPr>
        <w:t xml:space="preserve"> 11.07.2016 №181 «</w:t>
      </w:r>
      <w:r w:rsidR="0096149E" w:rsidRPr="00961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«Об осуществлении муниципального контроля за использованием и сохранностью муниципального жилищного фонда, соответствием жилых помещений данного </w:t>
      </w:r>
      <w:proofErr w:type="gramStart"/>
      <w:r w:rsidR="0096149E" w:rsidRPr="0096149E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фонда</w:t>
      </w:r>
      <w:proofErr w:type="gramEnd"/>
      <w:r w:rsidR="0096149E" w:rsidRPr="00961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установленным санитарным и техническим правилам и нормам, иным требованиям законодательства»</w:t>
      </w:r>
      <w:r w:rsidR="00961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149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863E61" w:rsidRPr="00863E61" w:rsidRDefault="00863E61" w:rsidP="00863E61">
      <w:pPr>
        <w:pStyle w:val="a3"/>
        <w:numPr>
          <w:ilvl w:val="1"/>
          <w:numId w:val="7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E6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1.3.4. обязанности должностного лица осуществляющий муниципальный жилищный контроль изложить в следующей редакции:</w:t>
      </w:r>
    </w:p>
    <w:p w:rsidR="00863E61" w:rsidRPr="00DF073F" w:rsidRDefault="00863E61" w:rsidP="00863E6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«</w:t>
      </w:r>
      <w:r w:rsidRPr="00DF073F">
        <w:rPr>
          <w:rFonts w:ascii="Times New Roman" w:hAnsi="Times New Roman" w:cs="Times New Roman"/>
          <w:bCs/>
          <w:sz w:val="28"/>
          <w:szCs w:val="28"/>
        </w:rPr>
        <w:t>1) 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 и требований, установленных муниципальными правовыми актами;</w:t>
      </w:r>
    </w:p>
    <w:p w:rsidR="00863E61" w:rsidRPr="00DF073F" w:rsidRDefault="00863E61" w:rsidP="00863E6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073F">
        <w:rPr>
          <w:rFonts w:ascii="Times New Roman" w:hAnsi="Times New Roman" w:cs="Times New Roman"/>
          <w:bCs/>
          <w:sz w:val="28"/>
          <w:szCs w:val="28"/>
        </w:rPr>
        <w:t>2) соблюдать законодательство Российской Федерации, права и законные интересы юридического лица, индивидуального предпринимателя, проверка которых проводится;</w:t>
      </w:r>
    </w:p>
    <w:p w:rsidR="00863E61" w:rsidRPr="00DF073F" w:rsidRDefault="00863E61" w:rsidP="00863E6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073F">
        <w:rPr>
          <w:rFonts w:ascii="Times New Roman" w:hAnsi="Times New Roman" w:cs="Times New Roman"/>
          <w:bCs/>
          <w:sz w:val="28"/>
          <w:szCs w:val="28"/>
        </w:rPr>
        <w:t>3) проводить проверку на основании распоряжения или приказа руководителя, заместителя руководителя органа государственного контроля (надзора), органа муниципального контроля о ее проведении в соответствии с ее назначением;</w:t>
      </w:r>
    </w:p>
    <w:p w:rsidR="00863E61" w:rsidRPr="00DF073F" w:rsidRDefault="00863E61" w:rsidP="00863E6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073F">
        <w:rPr>
          <w:rFonts w:ascii="Times New Roman" w:hAnsi="Times New Roman" w:cs="Times New Roman"/>
          <w:bCs/>
          <w:sz w:val="28"/>
          <w:szCs w:val="28"/>
        </w:rPr>
        <w:t>4) проводить проверку только во время исполнения служебных обязанностей, выездную проверку только при предъявлении служебных удостоверений, копии распоряжения или приказа руководителя, заместителя руководителя органа государственного контроля (надзора), о</w:t>
      </w:r>
      <w:r>
        <w:rPr>
          <w:rFonts w:ascii="Times New Roman" w:hAnsi="Times New Roman" w:cs="Times New Roman"/>
          <w:bCs/>
          <w:sz w:val="28"/>
          <w:szCs w:val="28"/>
        </w:rPr>
        <w:t xml:space="preserve">ргана муниципального контроля, </w:t>
      </w:r>
      <w:r w:rsidRPr="00DF073F">
        <w:rPr>
          <w:rFonts w:ascii="Times New Roman" w:hAnsi="Times New Roman" w:cs="Times New Roman"/>
          <w:bCs/>
          <w:sz w:val="28"/>
          <w:szCs w:val="28"/>
        </w:rPr>
        <w:t>копии документа о согласовании проведения проверки;</w:t>
      </w:r>
    </w:p>
    <w:p w:rsidR="00863E61" w:rsidRPr="00DF073F" w:rsidRDefault="00863E61" w:rsidP="00863E6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073F">
        <w:rPr>
          <w:rFonts w:ascii="Times New Roman" w:hAnsi="Times New Roman" w:cs="Times New Roman"/>
          <w:bCs/>
          <w:sz w:val="28"/>
          <w:szCs w:val="28"/>
        </w:rPr>
        <w:t>5) не препятствовать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присутствовать при проведении проверки и давать разъяснения по вопросам, относящимся к предмету проверки;</w:t>
      </w:r>
    </w:p>
    <w:p w:rsidR="00863E61" w:rsidRPr="00DF073F" w:rsidRDefault="00863E61" w:rsidP="00863E6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073F">
        <w:rPr>
          <w:rFonts w:ascii="Times New Roman" w:hAnsi="Times New Roman" w:cs="Times New Roman"/>
          <w:bCs/>
          <w:sz w:val="28"/>
          <w:szCs w:val="28"/>
        </w:rPr>
        <w:t>6) предоставлять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представителю, присутствующим при проведении проверки, информацию и документы, относящиеся к предмету проверки;</w:t>
      </w:r>
    </w:p>
    <w:p w:rsidR="00863E61" w:rsidRPr="00DF073F" w:rsidRDefault="00863E61" w:rsidP="00863E6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073F">
        <w:rPr>
          <w:rFonts w:ascii="Times New Roman" w:hAnsi="Times New Roman" w:cs="Times New Roman"/>
          <w:bCs/>
          <w:sz w:val="28"/>
          <w:szCs w:val="28"/>
        </w:rPr>
        <w:t>7) знакомить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с результатами проверки;</w:t>
      </w:r>
    </w:p>
    <w:p w:rsidR="00863E61" w:rsidRPr="00DF073F" w:rsidRDefault="00863E61" w:rsidP="00863E6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073F">
        <w:rPr>
          <w:rFonts w:ascii="Times New Roman" w:hAnsi="Times New Roman" w:cs="Times New Roman"/>
          <w:bCs/>
          <w:sz w:val="28"/>
          <w:szCs w:val="28"/>
        </w:rPr>
        <w:t>7.1) знакомить руководителя, иное должностное лицо или уполномоченного представителя юридического лица, индивидуального предпринимателя, его уполномоченного представителя с документами и (или) информацией, полученными в рамках межведомственного информационного взаимодействия;</w:t>
      </w:r>
    </w:p>
    <w:p w:rsidR="00863E61" w:rsidRPr="00DF073F" w:rsidRDefault="00863E61" w:rsidP="00863E6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F073F">
        <w:rPr>
          <w:rFonts w:ascii="Times New Roman" w:hAnsi="Times New Roman" w:cs="Times New Roman"/>
          <w:bCs/>
          <w:sz w:val="28"/>
          <w:szCs w:val="28"/>
        </w:rPr>
        <w:t xml:space="preserve">8) учитывать при определении мер, принимаемых по фактам выявленных нарушений, соответствие указанных мер тяжести нарушений, их </w:t>
      </w:r>
      <w:r w:rsidRPr="00DF073F">
        <w:rPr>
          <w:rFonts w:ascii="Times New Roman" w:hAnsi="Times New Roman" w:cs="Times New Roman"/>
          <w:bCs/>
          <w:sz w:val="28"/>
          <w:szCs w:val="28"/>
        </w:rPr>
        <w:lastRenderedPageBreak/>
        <w:t>потенциальной опасности для жизни, здоровья людей, для животных, растений, окружающей среды, объектов культурного наследия (памятников истории и культуры) народов Российской Федерации, музейных предметов и музейных коллекций, включенных в состав Музейного фонда Российской Федерации, особо ценных, в том числе уникальных, документов Архивного фонда Российской Федерации</w:t>
      </w:r>
      <w:proofErr w:type="gramEnd"/>
      <w:r w:rsidRPr="00DF073F">
        <w:rPr>
          <w:rFonts w:ascii="Times New Roman" w:hAnsi="Times New Roman" w:cs="Times New Roman"/>
          <w:bCs/>
          <w:sz w:val="28"/>
          <w:szCs w:val="28"/>
        </w:rPr>
        <w:t>, документов, имеющих особое историческое, научное, культурное значение, входящих в состав национального библиотечного фонда, безопасности государства, для возникновения чрезвычайных ситуаций природного и техногенного характера, а также не допускать необоснованное ограничение прав и законных интересов граждан, в том числе индивидуальных предпринимателей, юридических лиц;</w:t>
      </w:r>
    </w:p>
    <w:p w:rsidR="00863E61" w:rsidRPr="00DF073F" w:rsidRDefault="00863E61" w:rsidP="00863E6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073F">
        <w:rPr>
          <w:rFonts w:ascii="Times New Roman" w:hAnsi="Times New Roman" w:cs="Times New Roman"/>
          <w:bCs/>
          <w:sz w:val="28"/>
          <w:szCs w:val="28"/>
        </w:rPr>
        <w:t>9) доказывать обоснованность своих действий при их обжаловании юридическими лицами, индивидуальными предпринимателями в порядке, установленном законодательством Российской Федерации;</w:t>
      </w:r>
    </w:p>
    <w:p w:rsidR="00863E61" w:rsidRPr="00DF073F" w:rsidRDefault="00863E61" w:rsidP="00863E6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073F">
        <w:rPr>
          <w:rFonts w:ascii="Times New Roman" w:hAnsi="Times New Roman" w:cs="Times New Roman"/>
          <w:bCs/>
          <w:sz w:val="28"/>
          <w:szCs w:val="28"/>
        </w:rPr>
        <w:t>10) соблюдать сроки проведения проверки, установленные настоящим Федеральным законом;</w:t>
      </w:r>
    </w:p>
    <w:p w:rsidR="00863E61" w:rsidRPr="00DF073F" w:rsidRDefault="00863E61" w:rsidP="00863E6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073F">
        <w:rPr>
          <w:rFonts w:ascii="Times New Roman" w:hAnsi="Times New Roman" w:cs="Times New Roman"/>
          <w:bCs/>
          <w:sz w:val="28"/>
          <w:szCs w:val="28"/>
        </w:rPr>
        <w:t>11) не требовать от юридического лица, индивидуального предпринимателя документы и иные сведения, представление которых не предусмотрено законодательством Российской Федерации;</w:t>
      </w:r>
    </w:p>
    <w:p w:rsidR="00863E61" w:rsidRPr="00DF073F" w:rsidRDefault="00863E61" w:rsidP="00863E6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073F">
        <w:rPr>
          <w:rFonts w:ascii="Times New Roman" w:hAnsi="Times New Roman" w:cs="Times New Roman"/>
          <w:bCs/>
          <w:sz w:val="28"/>
          <w:szCs w:val="28"/>
        </w:rPr>
        <w:t>12) перед началом проведения выездной проверки по просьбе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ознакомить их с положениями административного регламента (при его наличии), в соответствии с которым проводится проверка;</w:t>
      </w:r>
    </w:p>
    <w:p w:rsidR="00863E61" w:rsidRPr="00863E61" w:rsidRDefault="00863E61" w:rsidP="00863E6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073F">
        <w:rPr>
          <w:rFonts w:ascii="Times New Roman" w:hAnsi="Times New Roman" w:cs="Times New Roman"/>
          <w:bCs/>
          <w:sz w:val="28"/>
          <w:szCs w:val="28"/>
        </w:rPr>
        <w:t xml:space="preserve">13) осуществлять запись о проведенной проверке в журнале учета проверок в случае его наличия у юридического лица, </w:t>
      </w:r>
      <w:r>
        <w:rPr>
          <w:rFonts w:ascii="Times New Roman" w:hAnsi="Times New Roman" w:cs="Times New Roman"/>
          <w:bCs/>
          <w:sz w:val="28"/>
          <w:szCs w:val="28"/>
        </w:rPr>
        <w:t>индивидуального предпринимателя».</w:t>
      </w:r>
    </w:p>
    <w:p w:rsidR="004A655C" w:rsidRDefault="00863E61" w:rsidP="00863E61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A068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A6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688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4A6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2.2.3 после слов «в форме электронных документов» дополнить словами «подписанных усиленной квалифицированной электронной подписью</w:t>
      </w:r>
      <w:proofErr w:type="gramStart"/>
      <w:r w:rsidR="004A655C">
        <w:rPr>
          <w:rFonts w:ascii="Times New Roman" w:eastAsia="Times New Roman" w:hAnsi="Times New Roman" w:cs="Times New Roman"/>
          <w:sz w:val="28"/>
          <w:szCs w:val="28"/>
          <w:lang w:eastAsia="ru-RU"/>
        </w:rPr>
        <w:t>,»</w:t>
      </w:r>
      <w:proofErr w:type="gramEnd"/>
      <w:r w:rsidR="004A65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A655C" w:rsidRDefault="00863E61" w:rsidP="00A0688B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4A655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Подпункт «в» пункта 3.1.3. изложить в следующей редакции:</w:t>
      </w:r>
    </w:p>
    <w:p w:rsidR="004A655C" w:rsidRDefault="004A655C" w:rsidP="00D922E7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«наименование юридического лица или фамилия, имя, отчество индивидуального предпринимателя, проверка которых проводится, места нахождения юридических лиц (их филиалов, представительств, обособленных структурных подразделений) или места фактического осуществления деятельности индивидуальными предпринимателями»;</w:t>
      </w:r>
    </w:p>
    <w:p w:rsidR="004A655C" w:rsidRPr="00863E61" w:rsidRDefault="00863E61" w:rsidP="00863E61">
      <w:pPr>
        <w:spacing w:after="0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="00D46179" w:rsidRPr="00863E6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922E7" w:rsidRPr="00863E6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одпункт</w:t>
      </w:r>
      <w:r w:rsidR="00D46179" w:rsidRPr="00863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пункта 3.2.6</w:t>
      </w:r>
      <w:r w:rsidR="00187E09" w:rsidRPr="00863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187E09" w:rsidRDefault="00187E09" w:rsidP="00D922E7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E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«наименовани</w:t>
      </w:r>
      <w:r w:rsidR="00EA775F">
        <w:rPr>
          <w:rFonts w:ascii="Times New Roman" w:eastAsia="Times New Roman" w:hAnsi="Times New Roman" w:cs="Times New Roman"/>
          <w:sz w:val="28"/>
          <w:szCs w:val="28"/>
          <w:lang w:eastAsia="ru-RU"/>
        </w:rPr>
        <w:t>я юридических лиц  (их филиалов, представительств, обособленных структурных подразделений), фамилии</w:t>
      </w:r>
      <w:r w:rsidRPr="00187E09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</w:t>
      </w:r>
      <w:r w:rsidR="00EA775F">
        <w:rPr>
          <w:rFonts w:ascii="Times New Roman" w:eastAsia="Times New Roman" w:hAnsi="Times New Roman" w:cs="Times New Roman"/>
          <w:sz w:val="28"/>
          <w:szCs w:val="28"/>
          <w:lang w:eastAsia="ru-RU"/>
        </w:rPr>
        <w:t>ена</w:t>
      </w:r>
      <w:r w:rsidRPr="00187E0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отчеств</w:t>
      </w:r>
      <w:r w:rsidR="00EA775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87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</w:t>
      </w:r>
      <w:r w:rsidR="00EA775F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187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</w:t>
      </w:r>
      <w:r w:rsidR="00EA775F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187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A7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которых подлежит плановым проверкам места нахождения юридических лиц </w:t>
      </w:r>
      <w:r w:rsidRPr="00187E09">
        <w:rPr>
          <w:rFonts w:ascii="Times New Roman" w:eastAsia="Times New Roman" w:hAnsi="Times New Roman" w:cs="Times New Roman"/>
          <w:sz w:val="28"/>
          <w:szCs w:val="28"/>
          <w:lang w:eastAsia="ru-RU"/>
        </w:rPr>
        <w:t>(их филиалов, представительств, обособленных структурных подразделений) или места фактического осуществления деятельности индивидуальными предпринимателями»;</w:t>
      </w:r>
    </w:p>
    <w:p w:rsidR="00A0688B" w:rsidRDefault="00863E61" w:rsidP="00A0688B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="00A068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688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2 пункта 3.2.9 изложить в следующей редакции:</w:t>
      </w:r>
    </w:p>
    <w:p w:rsidR="00A0688B" w:rsidRPr="00D922E7" w:rsidRDefault="00A0688B" w:rsidP="00A0688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922E7">
        <w:rPr>
          <w:rFonts w:ascii="Times New Roman" w:hAnsi="Times New Roman" w:cs="Times New Roman"/>
          <w:sz w:val="28"/>
          <w:szCs w:val="28"/>
        </w:rPr>
        <w:t>Основанием для включения плановой проверки в ежегодный план проведения плановых проверок является истечение одного года со дня:</w:t>
      </w:r>
    </w:p>
    <w:p w:rsidR="00A0688B" w:rsidRPr="00D922E7" w:rsidRDefault="00A0688B" w:rsidP="00A0688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22E7">
        <w:rPr>
          <w:rFonts w:ascii="Times New Roman" w:hAnsi="Times New Roman" w:cs="Times New Roman"/>
          <w:sz w:val="28"/>
          <w:szCs w:val="28"/>
        </w:rPr>
        <w:t>1) начала осуществления юридическим лицом, индивидуальным предпринимателем деятельности по управлению многоквартирными домами и деятельности по оказанию услуг и (или)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деятельности;</w:t>
      </w:r>
      <w:proofErr w:type="gramEnd"/>
    </w:p>
    <w:p w:rsidR="00A0688B" w:rsidRPr="00D922E7" w:rsidRDefault="00A0688B" w:rsidP="00A0688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922E7">
        <w:rPr>
          <w:rFonts w:ascii="Times New Roman" w:hAnsi="Times New Roman" w:cs="Times New Roman"/>
          <w:sz w:val="28"/>
          <w:szCs w:val="28"/>
        </w:rPr>
        <w:t xml:space="preserve">) постановки на учет в муниципальном реестре наемных домов социального использования первого наемного дома социального использования, </w:t>
      </w:r>
      <w:proofErr w:type="spellStart"/>
      <w:r w:rsidRPr="00D922E7"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 w:rsidRPr="00D922E7">
        <w:rPr>
          <w:rFonts w:ascii="Times New Roman" w:hAnsi="Times New Roman" w:cs="Times New Roman"/>
          <w:sz w:val="28"/>
          <w:szCs w:val="28"/>
        </w:rPr>
        <w:t xml:space="preserve"> жилых помещений в котором является лицо, деятельность которого подлежит проверке;</w:t>
      </w:r>
    </w:p>
    <w:p w:rsidR="00A0688B" w:rsidRDefault="00A0688B" w:rsidP="00A0688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922E7">
        <w:rPr>
          <w:rFonts w:ascii="Times New Roman" w:hAnsi="Times New Roman" w:cs="Times New Roman"/>
          <w:sz w:val="28"/>
          <w:szCs w:val="28"/>
        </w:rPr>
        <w:t>) окончания проведения последней плановой проверки юридического лица, индивидуального предпринимателя.</w:t>
      </w:r>
    </w:p>
    <w:p w:rsidR="00A0688B" w:rsidRPr="00A0688B" w:rsidRDefault="00A0688B" w:rsidP="00A0688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Абзац 3 пункта 3.4.5. после слов «в форме электронных документов» дополнить словами «подписанных усиленной квалифицированной подписью»;</w:t>
      </w:r>
    </w:p>
    <w:p w:rsidR="00D46179" w:rsidRPr="00A0688B" w:rsidRDefault="00D46179" w:rsidP="00A0688B">
      <w:pPr>
        <w:pStyle w:val="a3"/>
        <w:numPr>
          <w:ilvl w:val="1"/>
          <w:numId w:val="6"/>
        </w:numPr>
        <w:spacing w:after="0"/>
        <w:ind w:hanging="8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88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3.6.8. изложить в следующей редакции:</w:t>
      </w:r>
    </w:p>
    <w:p w:rsidR="00D46179" w:rsidRPr="00D46179" w:rsidRDefault="00D46179" w:rsidP="00D922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46179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Юридическое лицо, индивидуальный предприниматель, проверка которых проводилась, в случае несогласия с фактами, выводами, предложениями, изложенными в акте проверки,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(надзора), орган муниципального контроля в письменной форме возражения в отношении акта проверки и (или) выданного предписания об устранении</w:t>
      </w:r>
      <w:proofErr w:type="gramEnd"/>
      <w:r w:rsidRPr="00D46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выявленных нарушений в целом или его отдельных положений. При этом юридическое лицо, индивидуальный предприниматель вправе приложить к таким возражениям документы, подтверждающие обоснованность таких возражений, или их заверенные копии либо в согласованный срок передать их в орган государственного контроля (надзора), орган муниципального контроля. Указанные документы </w:t>
      </w:r>
      <w:r w:rsidRPr="00D461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могут быть направлены в форме электронных документов (пакета электронных документов), подписанных усиленной квалифицированной электронной подписью проверяемого лица</w:t>
      </w:r>
      <w:r w:rsidR="0096149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461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0322" w:rsidRPr="008C0322" w:rsidRDefault="008C0322" w:rsidP="00D922E7">
      <w:pPr>
        <w:spacing w:after="0"/>
        <w:ind w:right="-5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C0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обнародовать путем размещения на официальном сайте Балтасинского муниципального района </w:t>
      </w:r>
      <w:proofErr w:type="spellStart"/>
      <w:r w:rsidRPr="008C03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baltasi</w:t>
      </w:r>
      <w:proofErr w:type="spellEnd"/>
      <w:r w:rsidRPr="008C03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8C03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tatarstan</w:t>
      </w:r>
      <w:proofErr w:type="spellEnd"/>
      <w:r w:rsidRPr="008C03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8C03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8C03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0322" w:rsidRPr="008C0322" w:rsidRDefault="008C0322" w:rsidP="00D922E7">
      <w:pPr>
        <w:spacing w:after="0"/>
        <w:ind w:right="-54"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C0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8C03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C0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оставляю за собой.</w:t>
      </w:r>
    </w:p>
    <w:p w:rsidR="00D922E7" w:rsidRDefault="00D922E7" w:rsidP="00D922E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2E7" w:rsidRDefault="00D922E7" w:rsidP="00D922E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</w:p>
    <w:p w:rsidR="00D922E7" w:rsidRDefault="00D922E7" w:rsidP="00D922E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Балтасинского районного </w:t>
      </w:r>
    </w:p>
    <w:p w:rsidR="00D922E7" w:rsidRDefault="00D922E7" w:rsidP="00D922E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</w:t>
      </w:r>
    </w:p>
    <w:p w:rsidR="00EF5B5A" w:rsidRDefault="00D922E7" w:rsidP="00D922E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Р.И.Шакиров</w:t>
      </w:r>
      <w:proofErr w:type="spellEnd"/>
    </w:p>
    <w:p w:rsidR="00D922E7" w:rsidRDefault="00D922E7" w:rsidP="00D922E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2E7" w:rsidRPr="00EF5B5A" w:rsidRDefault="00D922E7" w:rsidP="00D922E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922E7" w:rsidRPr="00EF5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Nimbus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F5D4F"/>
    <w:multiLevelType w:val="hybridMultilevel"/>
    <w:tmpl w:val="CEA4F170"/>
    <w:lvl w:ilvl="0" w:tplc="246CB63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7A23E09"/>
    <w:multiLevelType w:val="hybridMultilevel"/>
    <w:tmpl w:val="4B789602"/>
    <w:lvl w:ilvl="0" w:tplc="A802095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E026FF5"/>
    <w:multiLevelType w:val="multilevel"/>
    <w:tmpl w:val="9CDE6A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54CE2778"/>
    <w:multiLevelType w:val="multilevel"/>
    <w:tmpl w:val="B3E032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580D3696"/>
    <w:multiLevelType w:val="multilevel"/>
    <w:tmpl w:val="A87871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5C394BFB"/>
    <w:multiLevelType w:val="multilevel"/>
    <w:tmpl w:val="3062A5DA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623137B2"/>
    <w:multiLevelType w:val="multilevel"/>
    <w:tmpl w:val="BD68D5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1F1"/>
    <w:rsid w:val="00040B0B"/>
    <w:rsid w:val="000D6275"/>
    <w:rsid w:val="00187E09"/>
    <w:rsid w:val="004A655C"/>
    <w:rsid w:val="00732A06"/>
    <w:rsid w:val="00863E61"/>
    <w:rsid w:val="008C0322"/>
    <w:rsid w:val="0096149E"/>
    <w:rsid w:val="009D27EE"/>
    <w:rsid w:val="00A0688B"/>
    <w:rsid w:val="00D46179"/>
    <w:rsid w:val="00D72F34"/>
    <w:rsid w:val="00D922E7"/>
    <w:rsid w:val="00E521F1"/>
    <w:rsid w:val="00EA775F"/>
    <w:rsid w:val="00E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B5A"/>
    <w:pPr>
      <w:ind w:left="720"/>
      <w:contextualSpacing/>
    </w:pPr>
  </w:style>
  <w:style w:type="paragraph" w:customStyle="1" w:styleId="ConsPlusNormal">
    <w:name w:val="ConsPlusNormal"/>
    <w:rsid w:val="00D922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9D2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27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B5A"/>
    <w:pPr>
      <w:ind w:left="720"/>
      <w:contextualSpacing/>
    </w:pPr>
  </w:style>
  <w:style w:type="paragraph" w:customStyle="1" w:styleId="ConsPlusNormal">
    <w:name w:val="ConsPlusNormal"/>
    <w:rsid w:val="00D922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9D2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27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1346</Words>
  <Characters>7675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</dc:creator>
  <cp:keywords/>
  <dc:description/>
  <cp:lastModifiedBy>Альфия</cp:lastModifiedBy>
  <cp:revision>7</cp:revision>
  <cp:lastPrinted>2016-10-26T12:16:00Z</cp:lastPrinted>
  <dcterms:created xsi:type="dcterms:W3CDTF">2016-10-26T06:58:00Z</dcterms:created>
  <dcterms:modified xsi:type="dcterms:W3CDTF">2016-11-02T05:17:00Z</dcterms:modified>
</cp:coreProperties>
</file>